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黑体" w:hAnsi="黑体" w:eastAsia="黑体" w:cs="黑体"/>
          <w:sz w:val="28"/>
          <w:szCs w:val="28"/>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参加2020年四川省市场监督管理局能力验证计划</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水中氨氮、化学需氧量的测定回执表</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sz w:val="40"/>
          <w:szCs w:val="40"/>
        </w:rPr>
      </w:pPr>
    </w:p>
    <w:tbl>
      <w:tblPr>
        <w:tblStyle w:val="5"/>
        <w:tblW w:w="52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1953"/>
        <w:gridCol w:w="5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184" w:type="pct"/>
            <w:vAlign w:val="center"/>
          </w:tcPr>
          <w:p>
            <w:pPr>
              <w:snapToGrid w:val="0"/>
              <w:spacing w:line="240" w:lineRule="auto"/>
              <w:jc w:val="center"/>
              <w:rPr>
                <w:rFonts w:eastAsia="宋体"/>
                <w:sz w:val="24"/>
                <w:szCs w:val="24"/>
              </w:rPr>
            </w:pPr>
            <w:r>
              <w:rPr>
                <w:rFonts w:eastAsia="宋体"/>
                <w:sz w:val="24"/>
                <w:szCs w:val="24"/>
              </w:rPr>
              <w:t>单位名称</w:t>
            </w:r>
          </w:p>
          <w:p>
            <w:pPr>
              <w:snapToGrid w:val="0"/>
              <w:spacing w:line="240" w:lineRule="auto"/>
              <w:jc w:val="center"/>
              <w:rPr>
                <w:rFonts w:eastAsia="宋体"/>
                <w:sz w:val="24"/>
                <w:szCs w:val="24"/>
              </w:rPr>
            </w:pPr>
            <w:r>
              <w:rPr>
                <w:rFonts w:eastAsia="宋体"/>
                <w:sz w:val="24"/>
                <w:szCs w:val="24"/>
              </w:rPr>
              <w:t>（盖公章）</w:t>
            </w:r>
          </w:p>
        </w:tc>
        <w:tc>
          <w:tcPr>
            <w:tcW w:w="3816" w:type="pct"/>
            <w:gridSpan w:val="2"/>
            <w:vAlign w:val="center"/>
          </w:tcPr>
          <w:p>
            <w:pPr>
              <w:snapToGrid w:val="0"/>
              <w:spacing w:line="240" w:lineRule="auto"/>
              <w:jc w:val="center"/>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1184" w:type="pct"/>
            <w:vAlign w:val="center"/>
          </w:tcPr>
          <w:p>
            <w:pPr>
              <w:snapToGrid w:val="0"/>
              <w:spacing w:line="240" w:lineRule="auto"/>
              <w:jc w:val="center"/>
              <w:rPr>
                <w:rFonts w:eastAsia="宋体"/>
                <w:sz w:val="24"/>
                <w:szCs w:val="24"/>
              </w:rPr>
            </w:pPr>
            <w:r>
              <w:rPr>
                <w:rFonts w:eastAsia="宋体"/>
                <w:sz w:val="24"/>
                <w:szCs w:val="24"/>
              </w:rPr>
              <w:t>单位性质</w:t>
            </w:r>
          </w:p>
        </w:tc>
        <w:tc>
          <w:tcPr>
            <w:tcW w:w="3816" w:type="pct"/>
            <w:gridSpan w:val="2"/>
            <w:vAlign w:val="center"/>
          </w:tcPr>
          <w:p>
            <w:pPr>
              <w:snapToGrid w:val="0"/>
              <w:spacing w:line="240" w:lineRule="auto"/>
              <w:jc w:val="center"/>
              <w:rPr>
                <w:rFonts w:eastAsia="宋体"/>
                <w:sz w:val="24"/>
                <w:szCs w:val="24"/>
              </w:rPr>
            </w:pPr>
            <w:r>
              <w:rPr>
                <w:rFonts w:eastAsia="宋体"/>
                <w:sz w:val="24"/>
                <w:szCs w:val="24"/>
              </w:rPr>
              <w:sym w:font="Wingdings 2" w:char="F0A3"/>
            </w:r>
            <w:r>
              <w:rPr>
                <w:rFonts w:eastAsia="宋体"/>
                <w:sz w:val="24"/>
                <w:szCs w:val="24"/>
              </w:rPr>
              <w:t xml:space="preserve">事业单位  </w:t>
            </w:r>
            <w:r>
              <w:rPr>
                <w:rFonts w:eastAsia="宋体"/>
                <w:sz w:val="24"/>
                <w:szCs w:val="24"/>
              </w:rPr>
              <w:sym w:font="Wingdings 2" w:char="F0A3"/>
            </w:r>
            <w:r>
              <w:rPr>
                <w:rFonts w:eastAsia="宋体"/>
                <w:sz w:val="24"/>
                <w:szCs w:val="24"/>
              </w:rPr>
              <w:t xml:space="preserve">企业单位  </w:t>
            </w:r>
            <w:r>
              <w:rPr>
                <w:rFonts w:eastAsia="宋体"/>
                <w:sz w:val="24"/>
                <w:szCs w:val="24"/>
              </w:rPr>
              <w:sym w:font="Wingdings 2" w:char="F0A3"/>
            </w:r>
            <w:r>
              <w:rPr>
                <w:rFonts w:eastAsia="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184" w:type="pct"/>
            <w:vAlign w:val="center"/>
          </w:tcPr>
          <w:p>
            <w:pPr>
              <w:snapToGrid w:val="0"/>
              <w:spacing w:line="240" w:lineRule="auto"/>
              <w:jc w:val="center"/>
              <w:rPr>
                <w:rFonts w:eastAsia="宋体"/>
                <w:sz w:val="24"/>
                <w:szCs w:val="24"/>
              </w:rPr>
            </w:pPr>
            <w:r>
              <w:rPr>
                <w:rFonts w:eastAsia="宋体"/>
                <w:sz w:val="24"/>
                <w:szCs w:val="24"/>
              </w:rPr>
              <w:t>拟参加的项目</w:t>
            </w:r>
          </w:p>
          <w:p>
            <w:pPr>
              <w:snapToGrid w:val="0"/>
              <w:spacing w:line="240" w:lineRule="auto"/>
              <w:jc w:val="center"/>
              <w:rPr>
                <w:rFonts w:eastAsia="宋体"/>
                <w:sz w:val="24"/>
                <w:szCs w:val="24"/>
              </w:rPr>
            </w:pPr>
            <w:r>
              <w:rPr>
                <w:rFonts w:eastAsia="宋体"/>
                <w:sz w:val="24"/>
                <w:szCs w:val="24"/>
              </w:rPr>
              <w:t>（括号内为所依据的检测方法）</w:t>
            </w:r>
          </w:p>
        </w:tc>
        <w:tc>
          <w:tcPr>
            <w:tcW w:w="3816" w:type="pct"/>
            <w:gridSpan w:val="2"/>
            <w:vAlign w:val="center"/>
          </w:tcPr>
          <w:p>
            <w:pPr>
              <w:snapToGrid w:val="0"/>
              <w:spacing w:line="240" w:lineRule="auto"/>
              <w:rPr>
                <w:rFonts w:eastAsia="宋体"/>
                <w:sz w:val="22"/>
                <w:szCs w:val="22"/>
              </w:rPr>
            </w:pPr>
            <w:r>
              <w:rPr>
                <w:rFonts w:eastAsia="宋体"/>
                <w:sz w:val="22"/>
                <w:szCs w:val="22"/>
              </w:rPr>
              <w:sym w:font="Wingdings 2" w:char="F0A3"/>
            </w:r>
            <w:r>
              <w:rPr>
                <w:rFonts w:eastAsia="宋体"/>
                <w:sz w:val="22"/>
                <w:szCs w:val="22"/>
              </w:rPr>
              <w:t>氨氮（HJ 535-2009《水质 氨氮的测定 纳氏试剂分光光度法》）</w:t>
            </w:r>
          </w:p>
          <w:p>
            <w:pPr>
              <w:snapToGrid w:val="0"/>
              <w:spacing w:line="240" w:lineRule="auto"/>
              <w:rPr>
                <w:rFonts w:eastAsia="宋体"/>
                <w:sz w:val="22"/>
                <w:szCs w:val="22"/>
              </w:rPr>
            </w:pPr>
            <w:r>
              <w:rPr>
                <w:rFonts w:eastAsia="宋体"/>
                <w:sz w:val="22"/>
                <w:szCs w:val="22"/>
              </w:rPr>
              <w:sym w:font="Wingdings 2" w:char="F0A3"/>
            </w:r>
            <w:r>
              <w:rPr>
                <w:rFonts w:eastAsia="宋体"/>
                <w:sz w:val="22"/>
                <w:szCs w:val="22"/>
              </w:rPr>
              <w:t>氨氮（HJ 536-2009《水质 氨氮的测定 水杨酸分光光度法》）</w:t>
            </w:r>
          </w:p>
          <w:p>
            <w:pPr>
              <w:snapToGrid w:val="0"/>
              <w:spacing w:line="240" w:lineRule="auto"/>
              <w:rPr>
                <w:rFonts w:eastAsia="宋体"/>
                <w:sz w:val="24"/>
                <w:szCs w:val="24"/>
              </w:rPr>
            </w:pPr>
            <w:r>
              <w:rPr>
                <w:rFonts w:eastAsia="宋体"/>
                <w:sz w:val="22"/>
                <w:szCs w:val="22"/>
              </w:rPr>
              <w:sym w:font="Wingdings 2" w:char="F0A3"/>
            </w:r>
            <w:r>
              <w:rPr>
                <w:rFonts w:eastAsia="宋体"/>
                <w:sz w:val="22"/>
                <w:szCs w:val="22"/>
              </w:rPr>
              <w:t>化学需氧量（HJ 828-2017《水质 化学需氧量的测定 重铬酸盐法》）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1184" w:type="pct"/>
            <w:vMerge w:val="restart"/>
            <w:vAlign w:val="center"/>
          </w:tcPr>
          <w:p>
            <w:pPr>
              <w:snapToGrid w:val="0"/>
              <w:spacing w:line="240" w:lineRule="auto"/>
              <w:jc w:val="center"/>
              <w:rPr>
                <w:rFonts w:eastAsia="宋体"/>
                <w:sz w:val="24"/>
                <w:szCs w:val="24"/>
              </w:rPr>
            </w:pPr>
            <w:r>
              <w:rPr>
                <w:rFonts w:eastAsia="宋体"/>
                <w:sz w:val="24"/>
                <w:szCs w:val="24"/>
              </w:rPr>
              <w:t>联系方式</w:t>
            </w:r>
          </w:p>
        </w:tc>
        <w:tc>
          <w:tcPr>
            <w:tcW w:w="1050" w:type="pct"/>
            <w:vAlign w:val="center"/>
          </w:tcPr>
          <w:p>
            <w:pPr>
              <w:snapToGrid w:val="0"/>
              <w:spacing w:line="240" w:lineRule="auto"/>
              <w:jc w:val="center"/>
              <w:rPr>
                <w:rFonts w:eastAsia="宋体"/>
                <w:sz w:val="24"/>
                <w:szCs w:val="24"/>
              </w:rPr>
            </w:pPr>
            <w:r>
              <w:rPr>
                <w:rFonts w:eastAsia="宋体"/>
                <w:sz w:val="24"/>
                <w:szCs w:val="24"/>
              </w:rPr>
              <w:t>联系人</w:t>
            </w:r>
          </w:p>
        </w:tc>
        <w:tc>
          <w:tcPr>
            <w:tcW w:w="2766" w:type="pct"/>
            <w:vAlign w:val="center"/>
          </w:tcPr>
          <w:p>
            <w:pPr>
              <w:snapToGrid w:val="0"/>
              <w:spacing w:line="240" w:lineRule="auto"/>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84" w:type="pct"/>
            <w:vMerge w:val="continue"/>
            <w:vAlign w:val="center"/>
          </w:tcPr>
          <w:p>
            <w:pPr>
              <w:snapToGrid w:val="0"/>
              <w:spacing w:line="240" w:lineRule="auto"/>
              <w:jc w:val="center"/>
              <w:rPr>
                <w:rFonts w:eastAsia="宋体"/>
                <w:sz w:val="24"/>
                <w:szCs w:val="24"/>
              </w:rPr>
            </w:pPr>
          </w:p>
        </w:tc>
        <w:tc>
          <w:tcPr>
            <w:tcW w:w="1050" w:type="pct"/>
            <w:vAlign w:val="center"/>
          </w:tcPr>
          <w:p>
            <w:pPr>
              <w:snapToGrid w:val="0"/>
              <w:spacing w:line="240" w:lineRule="auto"/>
              <w:jc w:val="center"/>
              <w:rPr>
                <w:rFonts w:eastAsia="宋体"/>
                <w:sz w:val="24"/>
                <w:szCs w:val="24"/>
              </w:rPr>
            </w:pPr>
            <w:r>
              <w:rPr>
                <w:rFonts w:eastAsia="宋体"/>
                <w:sz w:val="24"/>
                <w:szCs w:val="24"/>
              </w:rPr>
              <w:t>联系电话</w:t>
            </w:r>
          </w:p>
        </w:tc>
        <w:tc>
          <w:tcPr>
            <w:tcW w:w="2766" w:type="pct"/>
            <w:vAlign w:val="center"/>
          </w:tcPr>
          <w:p>
            <w:pPr>
              <w:snapToGrid w:val="0"/>
              <w:spacing w:line="240" w:lineRule="auto"/>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84" w:type="pct"/>
            <w:vMerge w:val="continue"/>
            <w:vAlign w:val="center"/>
          </w:tcPr>
          <w:p>
            <w:pPr>
              <w:snapToGrid w:val="0"/>
              <w:spacing w:line="240" w:lineRule="auto"/>
              <w:jc w:val="center"/>
              <w:rPr>
                <w:rFonts w:eastAsia="宋体"/>
                <w:sz w:val="24"/>
                <w:szCs w:val="24"/>
              </w:rPr>
            </w:pPr>
          </w:p>
        </w:tc>
        <w:tc>
          <w:tcPr>
            <w:tcW w:w="1050" w:type="pct"/>
            <w:vAlign w:val="center"/>
          </w:tcPr>
          <w:p>
            <w:pPr>
              <w:snapToGrid w:val="0"/>
              <w:spacing w:line="240" w:lineRule="auto"/>
              <w:jc w:val="center"/>
              <w:rPr>
                <w:rFonts w:eastAsia="宋体"/>
                <w:sz w:val="24"/>
                <w:szCs w:val="24"/>
              </w:rPr>
            </w:pPr>
            <w:r>
              <w:rPr>
                <w:rFonts w:eastAsia="宋体"/>
                <w:sz w:val="24"/>
                <w:szCs w:val="24"/>
              </w:rPr>
              <w:t>电子邮件</w:t>
            </w:r>
          </w:p>
        </w:tc>
        <w:tc>
          <w:tcPr>
            <w:tcW w:w="2766" w:type="pct"/>
            <w:vAlign w:val="center"/>
          </w:tcPr>
          <w:p>
            <w:pPr>
              <w:snapToGrid w:val="0"/>
              <w:spacing w:line="240" w:lineRule="auto"/>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1184" w:type="pct"/>
            <w:vMerge w:val="continue"/>
            <w:vAlign w:val="center"/>
          </w:tcPr>
          <w:p>
            <w:pPr>
              <w:snapToGrid w:val="0"/>
              <w:spacing w:line="240" w:lineRule="auto"/>
              <w:jc w:val="center"/>
              <w:rPr>
                <w:rFonts w:eastAsia="宋体"/>
                <w:sz w:val="24"/>
                <w:szCs w:val="24"/>
              </w:rPr>
            </w:pPr>
          </w:p>
        </w:tc>
        <w:tc>
          <w:tcPr>
            <w:tcW w:w="1050" w:type="pct"/>
            <w:vAlign w:val="center"/>
          </w:tcPr>
          <w:p>
            <w:pPr>
              <w:snapToGrid w:val="0"/>
              <w:spacing w:line="240" w:lineRule="auto"/>
              <w:jc w:val="center"/>
              <w:rPr>
                <w:rFonts w:eastAsia="宋体"/>
                <w:sz w:val="24"/>
                <w:szCs w:val="24"/>
              </w:rPr>
            </w:pPr>
            <w:r>
              <w:rPr>
                <w:rFonts w:eastAsia="宋体"/>
                <w:sz w:val="24"/>
                <w:szCs w:val="24"/>
              </w:rPr>
              <w:t>通讯地址</w:t>
            </w:r>
          </w:p>
        </w:tc>
        <w:tc>
          <w:tcPr>
            <w:tcW w:w="2766" w:type="pct"/>
            <w:vAlign w:val="center"/>
          </w:tcPr>
          <w:p>
            <w:pPr>
              <w:snapToGrid w:val="0"/>
              <w:spacing w:line="240" w:lineRule="auto"/>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1184" w:type="pct"/>
            <w:vMerge w:val="continue"/>
            <w:vAlign w:val="center"/>
          </w:tcPr>
          <w:p>
            <w:pPr>
              <w:snapToGrid w:val="0"/>
              <w:spacing w:line="240" w:lineRule="auto"/>
              <w:jc w:val="center"/>
              <w:rPr>
                <w:rFonts w:eastAsia="宋体"/>
                <w:sz w:val="24"/>
                <w:szCs w:val="24"/>
              </w:rPr>
            </w:pPr>
          </w:p>
        </w:tc>
        <w:tc>
          <w:tcPr>
            <w:tcW w:w="1050" w:type="pct"/>
            <w:vAlign w:val="center"/>
          </w:tcPr>
          <w:p>
            <w:pPr>
              <w:snapToGrid w:val="0"/>
              <w:spacing w:line="240" w:lineRule="auto"/>
              <w:jc w:val="center"/>
              <w:rPr>
                <w:rFonts w:eastAsia="宋体"/>
                <w:sz w:val="24"/>
                <w:szCs w:val="24"/>
              </w:rPr>
            </w:pPr>
            <w:r>
              <w:rPr>
                <w:rFonts w:eastAsia="宋体"/>
                <w:sz w:val="24"/>
                <w:szCs w:val="24"/>
              </w:rPr>
              <w:t>邮编</w:t>
            </w:r>
          </w:p>
        </w:tc>
        <w:tc>
          <w:tcPr>
            <w:tcW w:w="2766" w:type="pct"/>
            <w:vAlign w:val="center"/>
          </w:tcPr>
          <w:p>
            <w:pPr>
              <w:snapToGrid w:val="0"/>
              <w:spacing w:line="240" w:lineRule="auto"/>
              <w:rPr>
                <w:rFonts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184" w:type="pct"/>
            <w:vAlign w:val="center"/>
          </w:tcPr>
          <w:p>
            <w:pPr>
              <w:snapToGrid w:val="0"/>
              <w:spacing w:line="240" w:lineRule="auto"/>
              <w:jc w:val="center"/>
              <w:rPr>
                <w:rFonts w:eastAsia="宋体"/>
                <w:sz w:val="24"/>
                <w:szCs w:val="24"/>
              </w:rPr>
            </w:pPr>
            <w:r>
              <w:rPr>
                <w:rFonts w:eastAsia="宋体"/>
                <w:sz w:val="24"/>
                <w:szCs w:val="24"/>
              </w:rPr>
              <w:t>实验室该项目资质情况</w:t>
            </w:r>
          </w:p>
        </w:tc>
        <w:tc>
          <w:tcPr>
            <w:tcW w:w="3816" w:type="pct"/>
            <w:gridSpan w:val="2"/>
            <w:vAlign w:val="center"/>
          </w:tcPr>
          <w:p>
            <w:pPr>
              <w:snapToGrid w:val="0"/>
              <w:spacing w:line="276" w:lineRule="auto"/>
              <w:rPr>
                <w:rFonts w:ascii="宋体" w:hAnsi="宋体" w:eastAsia="宋体"/>
                <w:sz w:val="21"/>
                <w:szCs w:val="21"/>
              </w:rPr>
            </w:pPr>
            <w:r>
              <w:rPr>
                <w:rFonts w:ascii="宋体" w:hAnsi="宋体" w:eastAsia="宋体"/>
                <w:sz w:val="21"/>
                <w:szCs w:val="21"/>
              </w:rPr>
              <w:t>□已获</w:t>
            </w:r>
            <w:r>
              <w:rPr>
                <w:rFonts w:hint="eastAsia" w:ascii="宋体" w:hAnsi="宋体" w:eastAsia="宋体"/>
                <w:sz w:val="21"/>
                <w:szCs w:val="21"/>
              </w:rPr>
              <w:t>检验检测机构资质认定</w:t>
            </w: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编号:</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 xml:space="preserve">  </w:t>
            </w:r>
          </w:p>
          <w:p>
            <w:pPr>
              <w:snapToGrid w:val="0"/>
              <w:spacing w:line="276" w:lineRule="auto"/>
              <w:rPr>
                <w:rFonts w:ascii="宋体" w:hAnsi="宋体" w:eastAsia="宋体"/>
                <w:sz w:val="21"/>
                <w:szCs w:val="21"/>
                <w:u w:val="single"/>
              </w:rPr>
            </w:pPr>
            <w:r>
              <w:rPr>
                <w:rFonts w:ascii="宋体" w:hAnsi="宋体" w:eastAsia="宋体"/>
                <w:sz w:val="21"/>
                <w:szCs w:val="21"/>
              </w:rPr>
              <w:t>□未获</w:t>
            </w:r>
            <w:r>
              <w:rPr>
                <w:rFonts w:hint="eastAsia" w:ascii="宋体" w:hAnsi="宋体" w:eastAsia="宋体"/>
                <w:sz w:val="21"/>
                <w:szCs w:val="21"/>
              </w:rPr>
              <w:t>检验检测机构资质认定</w:t>
            </w:r>
          </w:p>
          <w:p>
            <w:pPr>
              <w:snapToGrid w:val="0"/>
              <w:spacing w:line="276" w:lineRule="auto"/>
              <w:rPr>
                <w:rFonts w:ascii="宋体" w:hAnsi="宋体" w:eastAsia="宋体"/>
                <w:sz w:val="21"/>
                <w:szCs w:val="21"/>
              </w:rPr>
            </w:pPr>
            <w:r>
              <w:rPr>
                <w:rFonts w:ascii="宋体" w:hAnsi="宋体" w:eastAsia="宋体"/>
                <w:sz w:val="21"/>
                <w:szCs w:val="21"/>
              </w:rPr>
              <w:t xml:space="preserve">□已获实验室认可 </w:t>
            </w:r>
            <w:r>
              <w:rPr>
                <w:rFonts w:hint="eastAsia" w:ascii="宋体" w:hAnsi="宋体" w:eastAsia="宋体"/>
                <w:sz w:val="21"/>
                <w:szCs w:val="21"/>
              </w:rPr>
              <w:t xml:space="preserve">             </w:t>
            </w:r>
            <w:r>
              <w:rPr>
                <w:rFonts w:ascii="宋体" w:hAnsi="宋体" w:eastAsia="宋体"/>
                <w:sz w:val="21"/>
                <w:szCs w:val="21"/>
              </w:rPr>
              <w:t>编号:</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 xml:space="preserve">  </w:t>
            </w:r>
          </w:p>
          <w:p>
            <w:pPr>
              <w:snapToGrid w:val="0"/>
              <w:spacing w:line="276" w:lineRule="auto"/>
              <w:rPr>
                <w:rFonts w:eastAsia="宋体"/>
                <w:sz w:val="24"/>
                <w:szCs w:val="24"/>
              </w:rPr>
            </w:pPr>
            <w:r>
              <w:rPr>
                <w:rFonts w:ascii="宋体" w:hAnsi="宋体" w:eastAsia="宋体"/>
                <w:sz w:val="21"/>
                <w:szCs w:val="21"/>
              </w:rPr>
              <w:t>□未获实验室认可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234" w:type="pct"/>
            <w:gridSpan w:val="2"/>
            <w:vAlign w:val="center"/>
          </w:tcPr>
          <w:p>
            <w:pPr>
              <w:snapToGrid w:val="0"/>
              <w:spacing w:line="240" w:lineRule="auto"/>
              <w:jc w:val="center"/>
              <w:rPr>
                <w:rFonts w:eastAsia="宋体"/>
                <w:sz w:val="24"/>
                <w:szCs w:val="24"/>
              </w:rPr>
            </w:pPr>
            <w:r>
              <w:rPr>
                <w:rFonts w:eastAsia="宋体"/>
                <w:sz w:val="24"/>
                <w:szCs w:val="24"/>
              </w:rPr>
              <w:t>对本次能力验证计划的建议</w:t>
            </w:r>
          </w:p>
        </w:tc>
        <w:tc>
          <w:tcPr>
            <w:tcW w:w="2766" w:type="pct"/>
            <w:vAlign w:val="center"/>
          </w:tcPr>
          <w:p>
            <w:pPr>
              <w:snapToGrid w:val="0"/>
              <w:spacing w:line="240" w:lineRule="auto"/>
              <w:jc w:val="center"/>
              <w:rPr>
                <w:rFonts w:eastAsia="宋体"/>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4" w:hRule="atLeast"/>
          <w:jc w:val="center"/>
        </w:trPr>
        <w:tc>
          <w:tcPr>
            <w:tcW w:w="5000" w:type="pct"/>
            <w:gridSpan w:val="3"/>
            <w:vAlign w:val="center"/>
          </w:tcPr>
          <w:p>
            <w:pPr>
              <w:snapToGrid w:val="0"/>
              <w:spacing w:line="240" w:lineRule="auto"/>
              <w:jc w:val="left"/>
              <w:rPr>
                <w:rFonts w:eastAsia="宋体"/>
                <w:b/>
                <w:sz w:val="24"/>
                <w:szCs w:val="24"/>
              </w:rPr>
            </w:pPr>
            <w:r>
              <w:rPr>
                <w:rFonts w:eastAsia="宋体"/>
                <w:b/>
                <w:sz w:val="24"/>
                <w:szCs w:val="24"/>
              </w:rPr>
              <w:t>说明：</w:t>
            </w:r>
          </w:p>
          <w:p>
            <w:pPr>
              <w:snapToGrid w:val="0"/>
              <w:spacing w:line="240" w:lineRule="auto"/>
              <w:jc w:val="left"/>
              <w:rPr>
                <w:rFonts w:eastAsia="宋体"/>
                <w:sz w:val="24"/>
                <w:szCs w:val="24"/>
              </w:rPr>
            </w:pPr>
            <w:r>
              <w:rPr>
                <w:rFonts w:eastAsia="宋体"/>
                <w:sz w:val="24"/>
                <w:szCs w:val="24"/>
              </w:rPr>
              <w:t>1</w:t>
            </w:r>
            <w:r>
              <w:rPr>
                <w:rFonts w:hint="eastAsia" w:eastAsia="宋体"/>
                <w:sz w:val="24"/>
                <w:szCs w:val="24"/>
              </w:rPr>
              <w:t xml:space="preserve">. </w:t>
            </w:r>
            <w:r>
              <w:rPr>
                <w:rFonts w:eastAsia="宋体"/>
                <w:sz w:val="24"/>
                <w:szCs w:val="24"/>
              </w:rPr>
              <w:t>实验室应独立地完成能力验证项目的试验。</w:t>
            </w:r>
          </w:p>
          <w:p>
            <w:pPr>
              <w:snapToGrid w:val="0"/>
              <w:spacing w:line="240" w:lineRule="auto"/>
              <w:jc w:val="left"/>
              <w:rPr>
                <w:rFonts w:eastAsia="宋体"/>
                <w:sz w:val="24"/>
                <w:szCs w:val="24"/>
              </w:rPr>
            </w:pPr>
            <w:r>
              <w:rPr>
                <w:rFonts w:eastAsia="宋体"/>
                <w:sz w:val="24"/>
                <w:szCs w:val="24"/>
              </w:rPr>
              <w:t>2</w:t>
            </w:r>
            <w:r>
              <w:rPr>
                <w:rFonts w:hint="eastAsia" w:eastAsia="宋体"/>
                <w:sz w:val="24"/>
                <w:szCs w:val="24"/>
              </w:rPr>
              <w:t xml:space="preserve">. </w:t>
            </w:r>
            <w:r>
              <w:rPr>
                <w:rFonts w:eastAsia="宋体"/>
                <w:sz w:val="24"/>
                <w:szCs w:val="24"/>
              </w:rPr>
              <w:t>若相关检验检测机构只</w:t>
            </w:r>
            <w:r>
              <w:rPr>
                <w:rFonts w:hint="eastAsia" w:eastAsia="宋体"/>
                <w:sz w:val="24"/>
                <w:szCs w:val="24"/>
              </w:rPr>
              <w:t>具</w:t>
            </w:r>
            <w:r>
              <w:rPr>
                <w:rFonts w:eastAsia="宋体"/>
                <w:sz w:val="24"/>
                <w:szCs w:val="24"/>
              </w:rPr>
              <w:t>有氨氮或化学需氧量其中一项资质可只参加其中的一个项目，氨氮项目具有两个标准检测资质的实验室</w:t>
            </w:r>
            <w:r>
              <w:rPr>
                <w:rFonts w:hint="eastAsia" w:eastAsia="宋体"/>
                <w:sz w:val="24"/>
                <w:szCs w:val="24"/>
              </w:rPr>
              <w:t>仅</w:t>
            </w:r>
            <w:r>
              <w:rPr>
                <w:rFonts w:eastAsia="宋体"/>
                <w:sz w:val="24"/>
                <w:szCs w:val="24"/>
              </w:rPr>
              <w:t>需</w:t>
            </w:r>
            <w:r>
              <w:rPr>
                <w:rFonts w:hint="eastAsia" w:eastAsia="宋体"/>
                <w:sz w:val="24"/>
                <w:szCs w:val="24"/>
              </w:rPr>
              <w:t>选择其中一个标准来</w:t>
            </w:r>
            <w:r>
              <w:rPr>
                <w:rFonts w:eastAsia="宋体"/>
                <w:sz w:val="24"/>
                <w:szCs w:val="24"/>
              </w:rPr>
              <w:t>参加</w:t>
            </w:r>
            <w:r>
              <w:rPr>
                <w:rFonts w:hint="eastAsia" w:eastAsia="宋体"/>
                <w:sz w:val="24"/>
                <w:szCs w:val="24"/>
              </w:rPr>
              <w:t>本次氨</w:t>
            </w:r>
            <w:r>
              <w:rPr>
                <w:rFonts w:eastAsia="宋体"/>
                <w:sz w:val="24"/>
                <w:szCs w:val="24"/>
              </w:rPr>
              <w:t>氮</w:t>
            </w:r>
            <w:r>
              <w:rPr>
                <w:rFonts w:hint="eastAsia" w:eastAsia="宋体"/>
                <w:sz w:val="24"/>
                <w:szCs w:val="24"/>
              </w:rPr>
              <w:t>项目</w:t>
            </w:r>
            <w:r>
              <w:rPr>
                <w:rFonts w:eastAsia="宋体"/>
                <w:sz w:val="24"/>
                <w:szCs w:val="24"/>
              </w:rPr>
              <w:t>的能力验证试验。</w:t>
            </w:r>
          </w:p>
          <w:p>
            <w:pPr>
              <w:snapToGrid w:val="0"/>
              <w:spacing w:line="240" w:lineRule="auto"/>
              <w:rPr>
                <w:rFonts w:eastAsia="宋体"/>
                <w:sz w:val="24"/>
                <w:szCs w:val="24"/>
              </w:rPr>
            </w:pPr>
            <w:r>
              <w:rPr>
                <w:rFonts w:eastAsia="宋体"/>
                <w:sz w:val="24"/>
                <w:szCs w:val="24"/>
              </w:rPr>
              <w:t>3</w:t>
            </w:r>
            <w:r>
              <w:rPr>
                <w:rFonts w:hint="eastAsia" w:eastAsia="宋体"/>
                <w:sz w:val="24"/>
                <w:szCs w:val="24"/>
              </w:rPr>
              <w:t xml:space="preserve">. </w:t>
            </w:r>
            <w:r>
              <w:rPr>
                <w:rFonts w:eastAsia="宋体"/>
                <w:sz w:val="24"/>
                <w:szCs w:val="24"/>
              </w:rPr>
              <w:t>对于结果满意的检验</w:t>
            </w:r>
            <w:r>
              <w:rPr>
                <w:rFonts w:hint="eastAsia" w:eastAsia="宋体"/>
                <w:sz w:val="24"/>
                <w:szCs w:val="24"/>
              </w:rPr>
              <w:t>检测</w:t>
            </w:r>
            <w:r>
              <w:rPr>
                <w:rFonts w:eastAsia="宋体"/>
                <w:sz w:val="24"/>
                <w:szCs w:val="24"/>
              </w:rPr>
              <w:t>机构，</w:t>
            </w:r>
            <w:r>
              <w:rPr>
                <w:rFonts w:hint="eastAsia" w:eastAsia="宋体"/>
                <w:sz w:val="24"/>
                <w:szCs w:val="24"/>
              </w:rPr>
              <w:t>在两年内（2022年底）接受检验检测机构资质认定评审时，可以免于该项目的现场考核。对于首次申请资质认定的检验检测机构计入其参加能力验证记录，供现场评审时参考</w:t>
            </w:r>
            <w:r>
              <w:rPr>
                <w:rFonts w:eastAsia="宋体"/>
                <w:sz w:val="24"/>
                <w:szCs w:val="24"/>
              </w:rPr>
              <w:t>。</w:t>
            </w:r>
            <w:r>
              <w:rPr>
                <w:rFonts w:hint="eastAsia" w:eastAsia="宋体"/>
                <w:sz w:val="24"/>
                <w:szCs w:val="24"/>
              </w:rPr>
              <w:t>鼓励其他政府部门及其他方选择使用能力验证结果满意的检验检测机构提供技术服务。</w:t>
            </w:r>
          </w:p>
          <w:p>
            <w:pPr>
              <w:snapToGrid w:val="0"/>
              <w:spacing w:line="240" w:lineRule="auto"/>
              <w:rPr>
                <w:rFonts w:eastAsia="宋体"/>
                <w:sz w:val="24"/>
                <w:szCs w:val="24"/>
              </w:rPr>
            </w:pPr>
            <w:r>
              <w:rPr>
                <w:rFonts w:eastAsia="宋体"/>
                <w:sz w:val="24"/>
                <w:szCs w:val="24"/>
              </w:rPr>
              <w:t>4</w:t>
            </w:r>
            <w:r>
              <w:rPr>
                <w:rFonts w:hint="eastAsia" w:eastAsia="宋体"/>
                <w:sz w:val="24"/>
                <w:szCs w:val="24"/>
              </w:rPr>
              <w:t xml:space="preserve">. </w:t>
            </w:r>
            <w:r>
              <w:rPr>
                <w:rFonts w:eastAsia="宋体"/>
                <w:sz w:val="24"/>
                <w:szCs w:val="24"/>
              </w:rPr>
              <w:t>在能力验证结果报告中，出于为实验室保密原因，均以实验室的参加代码表述。</w:t>
            </w:r>
          </w:p>
          <w:p>
            <w:pPr>
              <w:snapToGrid w:val="0"/>
              <w:spacing w:line="240" w:lineRule="auto"/>
              <w:rPr>
                <w:rFonts w:eastAsia="宋体"/>
                <w:sz w:val="24"/>
                <w:szCs w:val="24"/>
              </w:rPr>
            </w:pPr>
            <w:r>
              <w:rPr>
                <w:rFonts w:eastAsia="宋体"/>
                <w:sz w:val="24"/>
                <w:szCs w:val="24"/>
              </w:rPr>
              <w:t>5</w:t>
            </w:r>
            <w:r>
              <w:rPr>
                <w:rFonts w:hint="eastAsia" w:eastAsia="宋体"/>
                <w:sz w:val="24"/>
                <w:szCs w:val="24"/>
              </w:rPr>
              <w:t xml:space="preserve">. </w:t>
            </w:r>
            <w:r>
              <w:rPr>
                <w:rFonts w:eastAsia="宋体"/>
                <w:sz w:val="24"/>
                <w:szCs w:val="24"/>
              </w:rPr>
              <w:t>实验室填好报名表并返回能力验证承担者后，不得无故退出本次计划。</w:t>
            </w:r>
          </w:p>
          <w:p>
            <w:pPr>
              <w:snapToGrid w:val="0"/>
              <w:spacing w:line="240" w:lineRule="auto"/>
              <w:rPr>
                <w:rFonts w:eastAsia="宋体"/>
                <w:sz w:val="24"/>
                <w:szCs w:val="24"/>
              </w:rPr>
            </w:pPr>
            <w:r>
              <w:rPr>
                <w:rFonts w:eastAsia="宋体"/>
                <w:sz w:val="24"/>
                <w:szCs w:val="24"/>
              </w:rPr>
              <w:t>6</w:t>
            </w:r>
            <w:r>
              <w:rPr>
                <w:rFonts w:hint="eastAsia" w:eastAsia="宋体"/>
                <w:sz w:val="24"/>
                <w:szCs w:val="24"/>
              </w:rPr>
              <w:t xml:space="preserve">. </w:t>
            </w:r>
            <w:r>
              <w:rPr>
                <w:rFonts w:eastAsia="宋体"/>
                <w:sz w:val="24"/>
                <w:szCs w:val="24"/>
              </w:rPr>
              <w:t>能力验证计划报名表可在中国测试技术研究院网站（网址：www.nimtt.cn）上下载。</w:t>
            </w:r>
          </w:p>
          <w:p>
            <w:pPr>
              <w:snapToGrid w:val="0"/>
              <w:spacing w:line="240" w:lineRule="auto"/>
              <w:rPr>
                <w:rFonts w:eastAsia="宋体"/>
                <w:sz w:val="24"/>
                <w:szCs w:val="24"/>
              </w:rPr>
            </w:pPr>
          </w:p>
          <w:p>
            <w:pPr>
              <w:snapToGrid w:val="0"/>
              <w:spacing w:line="360" w:lineRule="auto"/>
              <w:ind w:firstLine="720" w:firstLineChars="300"/>
              <w:rPr>
                <w:rFonts w:eastAsia="宋体"/>
                <w:sz w:val="24"/>
                <w:szCs w:val="24"/>
              </w:rPr>
            </w:pPr>
            <w:r>
              <w:rPr>
                <w:rFonts w:eastAsia="宋体"/>
                <w:sz w:val="24"/>
                <w:szCs w:val="24"/>
              </w:rPr>
              <w:t>实验室负责人签名：</w:t>
            </w:r>
          </w:p>
          <w:p>
            <w:pPr>
              <w:snapToGrid w:val="0"/>
              <w:spacing w:line="360" w:lineRule="auto"/>
              <w:ind w:firstLine="720" w:firstLineChars="300"/>
              <w:rPr>
                <w:rFonts w:eastAsia="宋体"/>
                <w:sz w:val="24"/>
                <w:szCs w:val="24"/>
              </w:rPr>
            </w:pPr>
            <w:r>
              <w:rPr>
                <w:rFonts w:eastAsia="宋体"/>
                <w:sz w:val="24"/>
                <w:szCs w:val="24"/>
              </w:rPr>
              <w:t xml:space="preserve">实验室（盖章）  ：                                          </w:t>
            </w:r>
          </w:p>
          <w:p>
            <w:pPr>
              <w:snapToGrid w:val="0"/>
              <w:spacing w:line="240" w:lineRule="auto"/>
              <w:jc w:val="center"/>
              <w:rPr>
                <w:rFonts w:eastAsia="宋体"/>
                <w:sz w:val="24"/>
                <w:szCs w:val="24"/>
              </w:rPr>
            </w:pPr>
            <w:r>
              <w:rPr>
                <w:rFonts w:eastAsia="宋体"/>
                <w:sz w:val="24"/>
                <w:szCs w:val="24"/>
              </w:rPr>
              <w:t xml:space="preserve">                                      </w:t>
            </w:r>
          </w:p>
          <w:p>
            <w:pPr>
              <w:snapToGrid w:val="0"/>
              <w:spacing w:line="240" w:lineRule="auto"/>
              <w:jc w:val="left"/>
              <w:rPr>
                <w:rFonts w:eastAsia="宋体"/>
                <w:sz w:val="24"/>
                <w:szCs w:val="24"/>
              </w:rPr>
            </w:pPr>
            <w:r>
              <w:rPr>
                <w:rFonts w:eastAsia="宋体"/>
                <w:sz w:val="24"/>
                <w:szCs w:val="24"/>
              </w:rPr>
              <w:t xml:space="preserve">                                               年      月      日</w:t>
            </w:r>
          </w:p>
        </w:tc>
      </w:tr>
    </w:tbl>
    <w:p/>
    <w:sectPr>
      <w:pgSz w:w="11906" w:h="16838"/>
      <w:pgMar w:top="1201" w:right="1474" w:bottom="1227" w:left="1587" w:header="1418" w:footer="964" w:gutter="284"/>
      <w:pgNumType w:start="0"/>
      <w:cols w:space="425"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63E"/>
    <w:rsid w:val="000E6F4A"/>
    <w:rsid w:val="00127B93"/>
    <w:rsid w:val="002F2DB5"/>
    <w:rsid w:val="002F706A"/>
    <w:rsid w:val="00317B71"/>
    <w:rsid w:val="003450B2"/>
    <w:rsid w:val="0075563E"/>
    <w:rsid w:val="007D5CD7"/>
    <w:rsid w:val="007D689C"/>
    <w:rsid w:val="008608DD"/>
    <w:rsid w:val="008E43C1"/>
    <w:rsid w:val="00A0706E"/>
    <w:rsid w:val="00B864F9"/>
    <w:rsid w:val="00E246D0"/>
    <w:rsid w:val="00E314AC"/>
    <w:rsid w:val="00FA435F"/>
    <w:rsid w:val="2B7F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仿宋_GB2312" w:cs="Times New Roman"/>
      <w:sz w:val="28"/>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adjustRightInd/>
      <w:spacing w:before="100" w:beforeAutospacing="1" w:after="100" w:afterAutospacing="1" w:line="240" w:lineRule="auto"/>
      <w:jc w:val="left"/>
      <w:textAlignment w:val="auto"/>
    </w:pPr>
    <w:rPr>
      <w:rFonts w:eastAsia="宋体" w:cs="Arial"/>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984E09-ED7A-43ED-9709-D06CB71D3C1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138</Words>
  <Characters>787</Characters>
  <Lines>6</Lines>
  <Paragraphs>1</Paragraphs>
  <TotalTime>1</TotalTime>
  <ScaleCrop>false</ScaleCrop>
  <LinksUpToDate>false</LinksUpToDate>
  <CharactersWithSpaces>924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2020-06-19T05:11:00Z</dcterms:created>
  <dc:creator>fish</dc:creator>
  <cp:lastModifiedBy>Administrator</cp:lastModifiedBy>
  <cp:lastPrinted>2020-06-19T01:44:00Z</cp:lastPrinted>
  <dcterms:modified xsi:type="dcterms:W3CDTF">2020-06-19T06:49:05Z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