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b/>
          <w:bCs/>
          <w:color w:val="000000"/>
          <w:sz w:val="36"/>
          <w:szCs w:val="36"/>
          <w:lang w:val="en-US" w:eastAsia="zh-CN"/>
        </w:rPr>
      </w:pPr>
      <w:r>
        <w:rPr>
          <w:rFonts w:hint="eastAsia" w:ascii="宋体" w:hAnsi="宋体"/>
          <w:b/>
          <w:bCs/>
          <w:color w:val="000000"/>
          <w:sz w:val="36"/>
          <w:szCs w:val="36"/>
          <w:lang w:eastAsia="zh-CN"/>
        </w:rPr>
        <w:t>附件</w:t>
      </w:r>
      <w:r>
        <w:rPr>
          <w:rFonts w:hint="eastAsia" w:ascii="宋体" w:hAnsi="宋体"/>
          <w:b/>
          <w:bCs/>
          <w:color w:val="000000"/>
          <w:sz w:val="36"/>
          <w:szCs w:val="36"/>
          <w:lang w:val="en-US" w:eastAsia="zh-CN"/>
        </w:rPr>
        <w:t xml:space="preserve">1： </w:t>
      </w:r>
    </w:p>
    <w:p>
      <w:pPr>
        <w:keepNext w:val="0"/>
        <w:keepLines w:val="0"/>
        <w:pageBreakBefore w:val="0"/>
        <w:widowControl w:val="0"/>
        <w:kinsoku/>
        <w:wordWrap/>
        <w:overflowPunct/>
        <w:topLinePunct w:val="0"/>
        <w:autoSpaceDE/>
        <w:autoSpaceDN/>
        <w:bidi w:val="0"/>
        <w:adjustRightInd/>
        <w:snapToGrid/>
        <w:spacing w:line="560" w:lineRule="exact"/>
        <w:ind w:firstLine="3253" w:firstLineChars="900"/>
        <w:jc w:val="left"/>
        <w:textAlignment w:val="auto"/>
        <w:rPr>
          <w:rFonts w:hint="eastAsia" w:ascii="宋体" w:hAnsi="宋体"/>
          <w:b/>
          <w:bCs/>
          <w:color w:val="000000"/>
          <w:sz w:val="36"/>
          <w:szCs w:val="36"/>
        </w:rPr>
      </w:pPr>
      <w:r>
        <w:rPr>
          <w:rFonts w:hint="eastAsia" w:ascii="宋体" w:hAnsi="宋体"/>
          <w:b/>
          <w:bCs/>
          <w:color w:val="000000"/>
          <w:sz w:val="36"/>
          <w:szCs w:val="36"/>
        </w:rPr>
        <w:t>比选须知</w:t>
      </w:r>
    </w:p>
    <w:p>
      <w:pPr>
        <w:spacing w:line="560" w:lineRule="exact"/>
        <w:jc w:val="center"/>
        <w:rPr>
          <w:rFonts w:hint="eastAsia" w:ascii="宋体" w:hAnsi="宋体"/>
          <w:b/>
          <w:bCs/>
          <w:color w:val="000000"/>
          <w:sz w:val="28"/>
        </w:rPr>
      </w:pPr>
      <w:r>
        <w:rPr>
          <w:rFonts w:hint="eastAsia" w:ascii="宋体" w:hAnsi="宋体"/>
          <w:b/>
          <w:bCs/>
          <w:color w:val="000000"/>
          <w:sz w:val="28"/>
        </w:rPr>
        <w:t>一、前附表</w:t>
      </w:r>
    </w:p>
    <w:tbl>
      <w:tblPr>
        <w:tblStyle w:val="4"/>
        <w:tblW w:w="9135" w:type="dxa"/>
        <w:jc w:val="center"/>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615"/>
        <w:gridCol w:w="105"/>
        <w:gridCol w:w="7677"/>
      </w:tblGrid>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38" w:type="dxa"/>
            <w:tcBorders>
              <w:top w:val="thinThickSmallGap" w:color="auto" w:sz="24" w:space="0"/>
              <w:left w:val="thinThickSmallGap" w:color="auto" w:sz="24" w:space="0"/>
              <w:bottom w:val="single" w:color="auto" w:sz="6" w:space="0"/>
              <w:right w:val="single" w:color="auto" w:sz="6" w:space="0"/>
            </w:tcBorders>
            <w:shd w:val="clear" w:color="auto" w:fill="F3F3F3"/>
            <w:noWrap w:val="0"/>
            <w:vAlign w:val="center"/>
          </w:tcPr>
          <w:p>
            <w:pPr>
              <w:adjustRightInd w:val="0"/>
              <w:snapToGrid w:val="0"/>
              <w:spacing w:line="240" w:lineRule="exact"/>
              <w:jc w:val="center"/>
              <w:rPr>
                <w:rFonts w:ascii="宋体" w:hAnsi="宋体"/>
                <w:color w:val="000000"/>
                <w:sz w:val="24"/>
              </w:rPr>
            </w:pPr>
            <w:r>
              <w:rPr>
                <w:rFonts w:hint="eastAsia" w:ascii="宋体" w:hAnsi="宋体"/>
                <w:color w:val="000000"/>
                <w:sz w:val="24"/>
              </w:rPr>
              <w:t>项号</w:t>
            </w:r>
          </w:p>
        </w:tc>
        <w:tc>
          <w:tcPr>
            <w:tcW w:w="8397" w:type="dxa"/>
            <w:gridSpan w:val="3"/>
            <w:tcBorders>
              <w:top w:val="thinThickSmallGap" w:color="auto" w:sz="24" w:space="0"/>
              <w:left w:val="single" w:color="auto" w:sz="6" w:space="0"/>
              <w:bottom w:val="single" w:color="auto" w:sz="6" w:space="0"/>
              <w:right w:val="thickThinSmallGap" w:color="auto" w:sz="24" w:space="0"/>
            </w:tcBorders>
            <w:shd w:val="clear" w:color="auto" w:fill="F3F3F3"/>
            <w:noWrap w:val="0"/>
            <w:vAlign w:val="center"/>
          </w:tcPr>
          <w:p>
            <w:pPr>
              <w:adjustRightInd w:val="0"/>
              <w:snapToGrid w:val="0"/>
              <w:spacing w:line="240" w:lineRule="exact"/>
              <w:jc w:val="center"/>
              <w:rPr>
                <w:rFonts w:ascii="宋体" w:hAnsi="宋体"/>
                <w:color w:val="000000"/>
                <w:sz w:val="24"/>
              </w:rPr>
            </w:pPr>
            <w:r>
              <w:rPr>
                <w:rFonts w:hint="eastAsia" w:ascii="宋体" w:hAnsi="宋体"/>
                <w:color w:val="000000"/>
                <w:sz w:val="24"/>
              </w:rPr>
              <w:t>内      容      规      定</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cantSplit/>
          <w:trHeight w:val="1670" w:hRule="atLeast"/>
          <w:jc w:val="center"/>
        </w:trPr>
        <w:tc>
          <w:tcPr>
            <w:tcW w:w="738" w:type="dxa"/>
            <w:vMerge w:val="restart"/>
            <w:tcBorders>
              <w:top w:val="single" w:color="auto" w:sz="6" w:space="0"/>
              <w:left w:val="thinThickSmallGap" w:color="auto" w:sz="24" w:space="0"/>
              <w:bottom w:val="single" w:color="auto" w:sz="6" w:space="0"/>
              <w:right w:val="single" w:color="auto" w:sz="6" w:space="0"/>
            </w:tcBorders>
            <w:noWrap w:val="0"/>
            <w:vAlign w:val="center"/>
          </w:tcPr>
          <w:p>
            <w:pPr>
              <w:adjustRightInd w:val="0"/>
              <w:snapToGrid w:val="0"/>
              <w:spacing w:line="240" w:lineRule="exact"/>
              <w:jc w:val="center"/>
              <w:rPr>
                <w:rFonts w:ascii="宋体" w:hAnsi="宋体"/>
                <w:color w:val="000000"/>
                <w:sz w:val="24"/>
              </w:rPr>
            </w:pPr>
            <w:r>
              <w:rPr>
                <w:rFonts w:hint="eastAsia" w:ascii="宋体" w:hAnsi="宋体"/>
                <w:color w:val="000000"/>
                <w:sz w:val="24"/>
              </w:rPr>
              <w:t>1</w:t>
            </w:r>
          </w:p>
        </w:tc>
        <w:tc>
          <w:tcPr>
            <w:tcW w:w="615" w:type="dxa"/>
            <w:vMerge w:val="restart"/>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40" w:lineRule="exact"/>
              <w:jc w:val="center"/>
              <w:rPr>
                <w:rFonts w:ascii="宋体" w:hAnsi="宋体"/>
                <w:color w:val="000000"/>
                <w:sz w:val="24"/>
              </w:rPr>
            </w:pPr>
            <w:r>
              <w:rPr>
                <w:rFonts w:hint="eastAsia" w:ascii="宋体" w:hAnsi="宋体"/>
                <w:color w:val="000000"/>
                <w:sz w:val="24"/>
              </w:rPr>
              <w:t>工</w:t>
            </w:r>
          </w:p>
          <w:p>
            <w:pPr>
              <w:adjustRightInd w:val="0"/>
              <w:snapToGrid w:val="0"/>
              <w:spacing w:line="240" w:lineRule="exact"/>
              <w:jc w:val="center"/>
              <w:rPr>
                <w:rFonts w:hint="eastAsia" w:ascii="宋体" w:hAnsi="宋体"/>
                <w:color w:val="000000"/>
                <w:sz w:val="24"/>
              </w:rPr>
            </w:pPr>
          </w:p>
          <w:p>
            <w:pPr>
              <w:adjustRightInd w:val="0"/>
              <w:snapToGrid w:val="0"/>
              <w:spacing w:line="240" w:lineRule="exact"/>
              <w:jc w:val="center"/>
              <w:rPr>
                <w:rFonts w:hint="eastAsia" w:ascii="宋体" w:hAnsi="宋体"/>
                <w:color w:val="000000"/>
                <w:sz w:val="24"/>
              </w:rPr>
            </w:pPr>
            <w:r>
              <w:rPr>
                <w:rFonts w:hint="eastAsia" w:ascii="宋体" w:hAnsi="宋体"/>
                <w:color w:val="000000"/>
                <w:sz w:val="24"/>
              </w:rPr>
              <w:t>程</w:t>
            </w:r>
          </w:p>
          <w:p>
            <w:pPr>
              <w:adjustRightInd w:val="0"/>
              <w:snapToGrid w:val="0"/>
              <w:spacing w:line="240" w:lineRule="exact"/>
              <w:jc w:val="center"/>
              <w:rPr>
                <w:rFonts w:hint="eastAsia" w:ascii="宋体" w:hAnsi="宋体"/>
                <w:color w:val="000000"/>
                <w:sz w:val="24"/>
              </w:rPr>
            </w:pPr>
          </w:p>
          <w:p>
            <w:pPr>
              <w:adjustRightInd w:val="0"/>
              <w:snapToGrid w:val="0"/>
              <w:spacing w:line="240" w:lineRule="exact"/>
              <w:jc w:val="center"/>
              <w:rPr>
                <w:rFonts w:hint="eastAsia" w:ascii="宋体" w:hAnsi="宋体"/>
                <w:color w:val="000000"/>
                <w:sz w:val="24"/>
              </w:rPr>
            </w:pPr>
            <w:r>
              <w:rPr>
                <w:rFonts w:hint="eastAsia" w:ascii="宋体" w:hAnsi="宋体"/>
                <w:color w:val="000000"/>
                <w:sz w:val="24"/>
              </w:rPr>
              <w:t>概</w:t>
            </w:r>
          </w:p>
          <w:p>
            <w:pPr>
              <w:adjustRightInd w:val="0"/>
              <w:snapToGrid w:val="0"/>
              <w:spacing w:line="240" w:lineRule="exact"/>
              <w:jc w:val="center"/>
              <w:rPr>
                <w:rFonts w:hint="eastAsia" w:ascii="宋体" w:hAnsi="宋体"/>
                <w:color w:val="000000"/>
                <w:sz w:val="24"/>
              </w:rPr>
            </w:pPr>
          </w:p>
          <w:p>
            <w:pPr>
              <w:adjustRightInd w:val="0"/>
              <w:snapToGrid w:val="0"/>
              <w:spacing w:line="240" w:lineRule="exact"/>
              <w:jc w:val="center"/>
              <w:rPr>
                <w:rFonts w:ascii="宋体" w:hAnsi="宋体"/>
                <w:color w:val="000000"/>
                <w:sz w:val="24"/>
              </w:rPr>
            </w:pPr>
            <w:r>
              <w:rPr>
                <w:rFonts w:hint="eastAsia" w:ascii="宋体" w:hAnsi="宋体"/>
                <w:color w:val="000000"/>
                <w:sz w:val="24"/>
              </w:rPr>
              <w:t>况</w:t>
            </w:r>
          </w:p>
        </w:tc>
        <w:tc>
          <w:tcPr>
            <w:tcW w:w="7782" w:type="dxa"/>
            <w:gridSpan w:val="2"/>
            <w:tcBorders>
              <w:top w:val="single" w:color="auto" w:sz="6" w:space="0"/>
              <w:left w:val="single" w:color="auto" w:sz="6" w:space="0"/>
              <w:bottom w:val="single" w:color="auto" w:sz="6" w:space="0"/>
              <w:right w:val="thickThinSmallGap" w:color="auto" w:sz="24" w:space="0"/>
            </w:tcBorders>
            <w:noWrap w:val="0"/>
            <w:vAlign w:val="center"/>
          </w:tcPr>
          <w:p>
            <w:pPr>
              <w:adjustRightInd w:val="0"/>
              <w:snapToGrid w:val="0"/>
              <w:jc w:val="left"/>
              <w:rPr>
                <w:rFonts w:hint="eastAsia"/>
                <w:sz w:val="24"/>
              </w:rPr>
            </w:pPr>
            <w:r>
              <w:rPr>
                <w:rFonts w:hint="eastAsia"/>
                <w:sz w:val="24"/>
              </w:rPr>
              <w:t>项目业主：中国测试技术研究院</w:t>
            </w:r>
          </w:p>
          <w:p>
            <w:pPr>
              <w:adjustRightInd w:val="0"/>
              <w:snapToGrid w:val="0"/>
              <w:jc w:val="left"/>
              <w:rPr>
                <w:rFonts w:hint="eastAsia"/>
                <w:sz w:val="24"/>
              </w:rPr>
            </w:pPr>
            <w:r>
              <w:rPr>
                <w:rFonts w:hint="eastAsia"/>
                <w:sz w:val="24"/>
              </w:rPr>
              <w:t>地址：成都市成华区玉双路10号</w:t>
            </w:r>
          </w:p>
          <w:p>
            <w:pPr>
              <w:adjustRightInd w:val="0"/>
              <w:snapToGrid w:val="0"/>
              <w:jc w:val="left"/>
              <w:rPr>
                <w:rFonts w:hint="eastAsia"/>
                <w:sz w:val="24"/>
              </w:rPr>
            </w:pPr>
            <w:r>
              <w:rPr>
                <w:rFonts w:hint="eastAsia"/>
                <w:sz w:val="24"/>
              </w:rPr>
              <w:t>联系人：罗晓伟</w:t>
            </w:r>
          </w:p>
          <w:p>
            <w:pPr>
              <w:adjustRightInd w:val="0"/>
              <w:snapToGrid w:val="0"/>
              <w:spacing w:line="276" w:lineRule="auto"/>
              <w:jc w:val="left"/>
              <w:rPr>
                <w:rFonts w:ascii="宋体" w:hAnsi="宋体"/>
                <w:color w:val="000000"/>
                <w:sz w:val="24"/>
              </w:rPr>
            </w:pPr>
            <w:r>
              <w:rPr>
                <w:rFonts w:hint="eastAsia"/>
                <w:sz w:val="24"/>
              </w:rPr>
              <w:t>电话：</w:t>
            </w:r>
            <w:r>
              <w:rPr>
                <w:rFonts w:hint="eastAsia" w:ascii="黑体" w:hAnsi="黑体" w:eastAsia="黑体"/>
                <w:sz w:val="24"/>
              </w:rPr>
              <w:t>028-84403136</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cantSplit/>
          <w:trHeight w:val="491" w:hRule="atLeast"/>
          <w:jc w:val="center"/>
        </w:trPr>
        <w:tc>
          <w:tcPr>
            <w:tcW w:w="738" w:type="dxa"/>
            <w:vMerge w:val="continue"/>
            <w:tcBorders>
              <w:top w:val="single" w:color="auto" w:sz="6" w:space="0"/>
              <w:left w:val="thinThickSmallGap" w:color="auto" w:sz="24" w:space="0"/>
              <w:bottom w:val="single" w:color="auto" w:sz="6" w:space="0"/>
              <w:right w:val="single" w:color="auto" w:sz="6" w:space="0"/>
            </w:tcBorders>
            <w:noWrap w:val="0"/>
            <w:vAlign w:val="center"/>
          </w:tcPr>
          <w:p>
            <w:pPr>
              <w:widowControl/>
              <w:jc w:val="left"/>
              <w:rPr>
                <w:rFonts w:ascii="宋体" w:hAnsi="宋体"/>
                <w:color w:val="000000"/>
                <w:sz w:val="24"/>
              </w:rPr>
            </w:pPr>
          </w:p>
        </w:tc>
        <w:tc>
          <w:tcPr>
            <w:tcW w:w="615"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hAnsi="宋体"/>
                <w:color w:val="000000"/>
                <w:sz w:val="24"/>
              </w:rPr>
            </w:pPr>
          </w:p>
        </w:tc>
        <w:tc>
          <w:tcPr>
            <w:tcW w:w="7782" w:type="dxa"/>
            <w:gridSpan w:val="2"/>
            <w:tcBorders>
              <w:top w:val="single" w:color="auto" w:sz="6" w:space="0"/>
              <w:left w:val="single" w:color="auto" w:sz="6" w:space="0"/>
              <w:bottom w:val="single" w:color="auto" w:sz="6" w:space="0"/>
              <w:right w:val="thickThinSmallGap" w:color="auto" w:sz="24" w:space="0"/>
            </w:tcBorders>
            <w:noWrap w:val="0"/>
            <w:vAlign w:val="center"/>
          </w:tcPr>
          <w:p>
            <w:pPr>
              <w:adjustRightInd w:val="0"/>
              <w:snapToGrid w:val="0"/>
              <w:spacing w:line="240" w:lineRule="exact"/>
              <w:rPr>
                <w:rFonts w:ascii="宋体" w:hAnsi="宋体"/>
                <w:color w:val="000000"/>
                <w:sz w:val="24"/>
              </w:rPr>
            </w:pPr>
            <w:r>
              <w:rPr>
                <w:rFonts w:hint="eastAsia" w:ascii="宋体" w:hAnsi="宋体"/>
                <w:color w:val="000000"/>
                <w:sz w:val="24"/>
              </w:rPr>
              <w:t>项目名称：</w:t>
            </w:r>
            <w:r>
              <w:rPr>
                <w:rFonts w:hint="eastAsia" w:ascii="宋体" w:hAnsi="宋体"/>
                <w:color w:val="000000"/>
                <w:sz w:val="24"/>
                <w:u w:val="single"/>
              </w:rPr>
              <w:t>中测院</w:t>
            </w:r>
            <w:r>
              <w:rPr>
                <w:rFonts w:hint="eastAsia" w:ascii="宋体" w:hAnsi="宋体"/>
                <w:color w:val="000000"/>
                <w:sz w:val="24"/>
                <w:u w:val="single"/>
                <w:lang w:eastAsia="zh-CN"/>
              </w:rPr>
              <w:t>机关房屋及附属设施维修</w:t>
            </w:r>
            <w:r>
              <w:rPr>
                <w:rFonts w:hint="eastAsia" w:ascii="宋体" w:hAnsi="宋体"/>
                <w:color w:val="000000"/>
                <w:sz w:val="24"/>
                <w:u w:val="single"/>
              </w:rPr>
              <w:t>项目</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cantSplit/>
          <w:trHeight w:val="455" w:hRule="atLeast"/>
          <w:jc w:val="center"/>
        </w:trPr>
        <w:tc>
          <w:tcPr>
            <w:tcW w:w="738" w:type="dxa"/>
            <w:vMerge w:val="continue"/>
            <w:tcBorders>
              <w:top w:val="single" w:color="auto" w:sz="6" w:space="0"/>
              <w:left w:val="thinThickSmallGap" w:color="auto" w:sz="24" w:space="0"/>
              <w:bottom w:val="single" w:color="auto" w:sz="6" w:space="0"/>
              <w:right w:val="single" w:color="auto" w:sz="6" w:space="0"/>
            </w:tcBorders>
            <w:noWrap w:val="0"/>
            <w:vAlign w:val="center"/>
          </w:tcPr>
          <w:p>
            <w:pPr>
              <w:widowControl/>
              <w:jc w:val="left"/>
              <w:rPr>
                <w:rFonts w:ascii="宋体" w:hAnsi="宋体"/>
                <w:color w:val="000000"/>
                <w:sz w:val="24"/>
              </w:rPr>
            </w:pPr>
          </w:p>
        </w:tc>
        <w:tc>
          <w:tcPr>
            <w:tcW w:w="615"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hAnsi="宋体"/>
                <w:color w:val="000000"/>
                <w:sz w:val="24"/>
              </w:rPr>
            </w:pPr>
          </w:p>
        </w:tc>
        <w:tc>
          <w:tcPr>
            <w:tcW w:w="7782" w:type="dxa"/>
            <w:gridSpan w:val="2"/>
            <w:tcBorders>
              <w:top w:val="single" w:color="auto" w:sz="6" w:space="0"/>
              <w:left w:val="single" w:color="auto" w:sz="6" w:space="0"/>
              <w:bottom w:val="single" w:color="auto" w:sz="6" w:space="0"/>
              <w:right w:val="thickThinSmallGap" w:color="auto" w:sz="2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olor w:val="000000"/>
                <w:sz w:val="21"/>
                <w:szCs w:val="21"/>
              </w:rPr>
            </w:pPr>
            <w:r>
              <w:rPr>
                <w:rFonts w:hint="eastAsia" w:ascii="宋体" w:hAnsi="宋体"/>
                <w:color w:val="000000"/>
                <w:sz w:val="24"/>
              </w:rPr>
              <w:t>建设地点：</w:t>
            </w:r>
            <w:r>
              <w:rPr>
                <w:rFonts w:hint="eastAsia" w:ascii="宋体" w:hAnsi="宋体"/>
                <w:sz w:val="21"/>
                <w:szCs w:val="21"/>
              </w:rPr>
              <w:t>成都市成华区玉双路</w:t>
            </w:r>
            <w:r>
              <w:rPr>
                <w:rFonts w:hint="eastAsia" w:ascii="宋体" w:hAnsi="宋体"/>
                <w:sz w:val="21"/>
                <w:szCs w:val="21"/>
                <w:lang w:eastAsia="zh-CN"/>
              </w:rPr>
              <w:t>；</w:t>
            </w:r>
            <w:r>
              <w:rPr>
                <w:rFonts w:hint="eastAsia" w:ascii="宋体" w:hAnsi="宋体"/>
                <w:color w:val="000000"/>
                <w:sz w:val="21"/>
                <w:szCs w:val="21"/>
              </w:rPr>
              <w:t>成都市</w:t>
            </w:r>
            <w:r>
              <w:rPr>
                <w:rFonts w:hint="eastAsia" w:ascii="宋体" w:hAnsi="宋体"/>
                <w:color w:val="000000"/>
                <w:sz w:val="21"/>
                <w:szCs w:val="21"/>
                <w:lang w:eastAsia="zh-CN"/>
              </w:rPr>
              <w:t>大邑县鹤鸣乡青云路</w:t>
            </w:r>
          </w:p>
          <w:p>
            <w:pPr>
              <w:adjustRightInd w:val="0"/>
              <w:snapToGrid w:val="0"/>
              <w:spacing w:line="240" w:lineRule="exact"/>
              <w:rPr>
                <w:rFonts w:hint="eastAsia" w:ascii="宋体" w:hAnsi="宋体" w:eastAsia="宋体"/>
                <w:color w:val="000000"/>
                <w:sz w:val="24"/>
                <w:lang w:eastAsia="zh-CN"/>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cantSplit/>
          <w:trHeight w:val="741" w:hRule="atLeast"/>
          <w:jc w:val="center"/>
        </w:trPr>
        <w:tc>
          <w:tcPr>
            <w:tcW w:w="738" w:type="dxa"/>
            <w:vMerge w:val="continue"/>
            <w:tcBorders>
              <w:top w:val="single" w:color="auto" w:sz="6" w:space="0"/>
              <w:left w:val="thinThickSmallGap" w:color="auto" w:sz="24" w:space="0"/>
              <w:bottom w:val="single" w:color="auto" w:sz="6" w:space="0"/>
              <w:right w:val="single" w:color="auto" w:sz="6" w:space="0"/>
            </w:tcBorders>
            <w:noWrap w:val="0"/>
            <w:vAlign w:val="center"/>
          </w:tcPr>
          <w:p>
            <w:pPr>
              <w:widowControl/>
              <w:jc w:val="left"/>
              <w:rPr>
                <w:rFonts w:ascii="宋体" w:hAnsi="宋体"/>
                <w:color w:val="000000"/>
                <w:sz w:val="24"/>
              </w:rPr>
            </w:pPr>
          </w:p>
        </w:tc>
        <w:tc>
          <w:tcPr>
            <w:tcW w:w="615"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hAnsi="宋体"/>
                <w:color w:val="000000"/>
                <w:sz w:val="24"/>
              </w:rPr>
            </w:pPr>
          </w:p>
        </w:tc>
        <w:tc>
          <w:tcPr>
            <w:tcW w:w="7782" w:type="dxa"/>
            <w:gridSpan w:val="2"/>
            <w:tcBorders>
              <w:top w:val="single" w:color="auto" w:sz="6" w:space="0"/>
              <w:left w:val="single" w:color="auto" w:sz="6" w:space="0"/>
              <w:bottom w:val="single" w:color="auto" w:sz="6" w:space="0"/>
              <w:right w:val="thickThinSmallGap" w:color="auto" w:sz="24" w:space="0"/>
            </w:tcBorders>
            <w:noWrap w:val="0"/>
            <w:vAlign w:val="center"/>
          </w:tcPr>
          <w:p>
            <w:pPr>
              <w:adjustRightInd w:val="0"/>
              <w:snapToGrid w:val="0"/>
              <w:spacing w:line="240" w:lineRule="exact"/>
              <w:rPr>
                <w:rFonts w:ascii="宋体" w:hAnsi="宋体"/>
                <w:color w:val="000000"/>
                <w:sz w:val="24"/>
              </w:rPr>
            </w:pPr>
            <w:r>
              <w:rPr>
                <w:rFonts w:hint="eastAsia" w:ascii="宋体" w:hAnsi="宋体"/>
                <w:color w:val="000000"/>
                <w:sz w:val="24"/>
              </w:rPr>
              <w:t>比选范围：</w:t>
            </w:r>
            <w:r>
              <w:rPr>
                <w:rFonts w:hint="eastAsia" w:ascii="宋体" w:hAnsi="宋体"/>
                <w:color w:val="000000"/>
                <w:sz w:val="24"/>
                <w:u w:val="single"/>
              </w:rPr>
              <w:t>中测院</w:t>
            </w:r>
            <w:r>
              <w:rPr>
                <w:rFonts w:hint="eastAsia" w:ascii="宋体" w:hAnsi="宋体"/>
                <w:color w:val="000000"/>
                <w:sz w:val="24"/>
                <w:u w:val="single"/>
                <w:lang w:eastAsia="zh-CN"/>
              </w:rPr>
              <w:t>机关房屋及附属设施维修</w:t>
            </w:r>
            <w:r>
              <w:rPr>
                <w:rFonts w:hint="eastAsia" w:ascii="宋体" w:hAnsi="宋体"/>
                <w:color w:val="000000"/>
                <w:sz w:val="24"/>
                <w:u w:val="single"/>
              </w:rPr>
              <w:t>项目</w:t>
            </w:r>
            <w:r>
              <w:rPr>
                <w:rFonts w:hint="eastAsia" w:ascii="宋体" w:hAnsi="宋体"/>
                <w:color w:val="000000"/>
                <w:sz w:val="24"/>
              </w:rPr>
              <w:t>施工及保修阶段监理服务</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738" w:type="dxa"/>
            <w:vMerge w:val="continue"/>
            <w:tcBorders>
              <w:top w:val="single" w:color="auto" w:sz="6" w:space="0"/>
              <w:left w:val="thinThickSmallGap" w:color="auto" w:sz="24" w:space="0"/>
              <w:bottom w:val="single" w:color="auto" w:sz="6" w:space="0"/>
              <w:right w:val="single" w:color="auto" w:sz="6" w:space="0"/>
            </w:tcBorders>
            <w:noWrap w:val="0"/>
            <w:vAlign w:val="center"/>
          </w:tcPr>
          <w:p>
            <w:pPr>
              <w:widowControl/>
              <w:jc w:val="left"/>
              <w:rPr>
                <w:rFonts w:ascii="宋体" w:hAnsi="宋体"/>
                <w:color w:val="000000"/>
                <w:sz w:val="24"/>
              </w:rPr>
            </w:pPr>
          </w:p>
        </w:tc>
        <w:tc>
          <w:tcPr>
            <w:tcW w:w="615"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hAnsi="宋体"/>
                <w:color w:val="000000"/>
                <w:sz w:val="24"/>
              </w:rPr>
            </w:pPr>
          </w:p>
        </w:tc>
        <w:tc>
          <w:tcPr>
            <w:tcW w:w="7782" w:type="dxa"/>
            <w:gridSpan w:val="2"/>
            <w:tcBorders>
              <w:top w:val="single" w:color="auto" w:sz="6" w:space="0"/>
              <w:left w:val="single" w:color="auto" w:sz="6" w:space="0"/>
              <w:bottom w:val="single" w:color="auto" w:sz="6" w:space="0"/>
              <w:right w:val="thickThinSmallGap" w:color="auto" w:sz="24" w:space="0"/>
            </w:tcBorders>
            <w:noWrap w:val="0"/>
            <w:vAlign w:val="center"/>
          </w:tcPr>
          <w:p>
            <w:pPr>
              <w:adjustRightInd w:val="0"/>
              <w:snapToGrid w:val="0"/>
              <w:spacing w:line="240" w:lineRule="exact"/>
              <w:rPr>
                <w:rFonts w:ascii="宋体" w:hAnsi="宋体"/>
                <w:color w:val="000000"/>
                <w:sz w:val="24"/>
              </w:rPr>
            </w:pPr>
            <w:r>
              <w:rPr>
                <w:rFonts w:hint="eastAsia" w:ascii="宋体" w:hAnsi="宋体"/>
                <w:color w:val="000000"/>
                <w:sz w:val="24"/>
              </w:rPr>
              <w:t>建设期限：施工工期（</w:t>
            </w:r>
            <w:r>
              <w:rPr>
                <w:rFonts w:hint="eastAsia" w:ascii="宋体" w:hAnsi="宋体"/>
                <w:color w:val="000000"/>
                <w:sz w:val="24"/>
                <w:u w:val="single"/>
                <w:lang w:val="en-US" w:eastAsia="zh-CN"/>
              </w:rPr>
              <w:t>180</w:t>
            </w:r>
            <w:r>
              <w:rPr>
                <w:rFonts w:hint="eastAsia" w:ascii="宋体" w:hAnsi="宋体"/>
                <w:color w:val="000000"/>
                <w:sz w:val="24"/>
              </w:rPr>
              <w:t>日历天）+缺陷责任期</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cantSplit/>
          <w:trHeight w:val="630" w:hRule="atLeast"/>
          <w:jc w:val="center"/>
        </w:trPr>
        <w:tc>
          <w:tcPr>
            <w:tcW w:w="738" w:type="dxa"/>
            <w:vMerge w:val="continue"/>
            <w:tcBorders>
              <w:top w:val="single" w:color="auto" w:sz="6" w:space="0"/>
              <w:left w:val="thinThickSmallGap" w:color="auto" w:sz="24" w:space="0"/>
              <w:bottom w:val="single" w:color="auto" w:sz="6" w:space="0"/>
              <w:right w:val="single" w:color="auto" w:sz="6" w:space="0"/>
            </w:tcBorders>
            <w:noWrap w:val="0"/>
            <w:vAlign w:val="center"/>
          </w:tcPr>
          <w:p>
            <w:pPr>
              <w:widowControl/>
              <w:jc w:val="left"/>
              <w:rPr>
                <w:rFonts w:ascii="宋体" w:hAnsi="宋体"/>
                <w:color w:val="000000"/>
                <w:sz w:val="24"/>
              </w:rPr>
            </w:pPr>
          </w:p>
        </w:tc>
        <w:tc>
          <w:tcPr>
            <w:tcW w:w="615"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hAnsi="宋体"/>
                <w:color w:val="000000"/>
                <w:sz w:val="24"/>
              </w:rPr>
            </w:pPr>
          </w:p>
        </w:tc>
        <w:tc>
          <w:tcPr>
            <w:tcW w:w="7782" w:type="dxa"/>
            <w:gridSpan w:val="2"/>
            <w:tcBorders>
              <w:top w:val="single" w:color="auto" w:sz="6" w:space="0"/>
              <w:left w:val="single" w:color="auto" w:sz="6" w:space="0"/>
              <w:bottom w:val="single" w:color="auto" w:sz="4" w:space="0"/>
              <w:right w:val="thickThinSmallGap" w:color="auto" w:sz="24" w:space="0"/>
            </w:tcBorders>
            <w:noWrap w:val="0"/>
            <w:vAlign w:val="center"/>
          </w:tcPr>
          <w:p>
            <w:pPr>
              <w:adjustRightInd w:val="0"/>
              <w:snapToGrid w:val="0"/>
              <w:spacing w:line="240" w:lineRule="exact"/>
              <w:rPr>
                <w:rFonts w:hint="eastAsia" w:ascii="宋体" w:hAnsi="宋体"/>
                <w:color w:val="000000"/>
                <w:sz w:val="24"/>
              </w:rPr>
            </w:pPr>
            <w:r>
              <w:rPr>
                <w:rFonts w:hint="eastAsia" w:ascii="宋体" w:hAnsi="宋体"/>
                <w:color w:val="000000"/>
                <w:sz w:val="24"/>
              </w:rPr>
              <w:t>资金来源：部分由</w:t>
            </w:r>
            <w:r>
              <w:rPr>
                <w:rFonts w:hint="eastAsia" w:ascii="宋体" w:hAnsi="宋体"/>
                <w:color w:val="000000"/>
                <w:sz w:val="24"/>
                <w:lang w:eastAsia="zh-CN"/>
              </w:rPr>
              <w:t>财政</w:t>
            </w:r>
            <w:r>
              <w:rPr>
                <w:rFonts w:hint="eastAsia" w:ascii="宋体" w:hAnsi="宋体"/>
                <w:color w:val="000000"/>
                <w:sz w:val="24"/>
              </w:rPr>
              <w:t>拨款，部分由中国测试技术研究院自筹。</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cantSplit/>
          <w:trHeight w:val="416" w:hRule="atLeast"/>
          <w:jc w:val="center"/>
        </w:trPr>
        <w:tc>
          <w:tcPr>
            <w:tcW w:w="738" w:type="dxa"/>
            <w:vMerge w:val="continue"/>
            <w:tcBorders>
              <w:top w:val="single" w:color="auto" w:sz="6" w:space="0"/>
              <w:left w:val="thinThickSmallGap" w:color="auto" w:sz="24" w:space="0"/>
              <w:bottom w:val="single" w:color="auto" w:sz="6" w:space="0"/>
              <w:right w:val="single" w:color="auto" w:sz="6" w:space="0"/>
            </w:tcBorders>
            <w:noWrap w:val="0"/>
            <w:vAlign w:val="center"/>
          </w:tcPr>
          <w:p>
            <w:pPr>
              <w:widowControl/>
              <w:jc w:val="left"/>
              <w:rPr>
                <w:rFonts w:ascii="宋体" w:hAnsi="宋体"/>
                <w:color w:val="000000"/>
                <w:sz w:val="24"/>
              </w:rPr>
            </w:pPr>
          </w:p>
        </w:tc>
        <w:tc>
          <w:tcPr>
            <w:tcW w:w="615"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hAnsi="宋体"/>
                <w:color w:val="000000"/>
                <w:sz w:val="24"/>
              </w:rPr>
            </w:pPr>
          </w:p>
        </w:tc>
        <w:tc>
          <w:tcPr>
            <w:tcW w:w="7782" w:type="dxa"/>
            <w:gridSpan w:val="2"/>
            <w:tcBorders>
              <w:top w:val="single" w:color="auto" w:sz="4" w:space="0"/>
              <w:left w:val="single" w:color="auto" w:sz="6" w:space="0"/>
              <w:bottom w:val="single" w:color="auto" w:sz="6" w:space="0"/>
              <w:right w:val="thickThinSmallGap" w:color="auto" w:sz="24" w:space="0"/>
            </w:tcBorders>
            <w:noWrap w:val="0"/>
            <w:vAlign w:val="center"/>
          </w:tcPr>
          <w:p>
            <w:pPr>
              <w:adjustRightInd w:val="0"/>
              <w:snapToGrid w:val="0"/>
              <w:spacing w:line="240" w:lineRule="exact"/>
              <w:rPr>
                <w:rFonts w:ascii="宋体" w:hAnsi="宋体"/>
                <w:color w:val="000000"/>
                <w:sz w:val="24"/>
              </w:rPr>
            </w:pPr>
            <w:r>
              <w:rPr>
                <w:rFonts w:hint="eastAsia" w:ascii="宋体" w:hAnsi="宋体"/>
                <w:color w:val="000000"/>
                <w:sz w:val="24"/>
              </w:rPr>
              <w:t>最高限价：</w:t>
            </w:r>
            <w:r>
              <w:rPr>
                <w:rFonts w:hint="eastAsia" w:ascii="宋体" w:hAnsi="宋体"/>
                <w:color w:val="auto"/>
                <w:sz w:val="24"/>
                <w:highlight w:val="none"/>
                <w:lang w:val="en-US" w:eastAsia="zh-CN"/>
              </w:rPr>
              <w:t>19.2</w:t>
            </w:r>
            <w:r>
              <w:rPr>
                <w:rFonts w:hint="eastAsia" w:ascii="宋体" w:hAnsi="宋体"/>
                <w:color w:val="000000"/>
                <w:sz w:val="24"/>
              </w:rPr>
              <w:t>万元</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trHeight w:val="1696" w:hRule="atLeast"/>
          <w:jc w:val="center"/>
        </w:trPr>
        <w:tc>
          <w:tcPr>
            <w:tcW w:w="738" w:type="dxa"/>
            <w:tcBorders>
              <w:top w:val="single" w:color="auto" w:sz="6" w:space="0"/>
              <w:left w:val="thinThickSmallGap" w:color="auto" w:sz="24" w:space="0"/>
              <w:bottom w:val="single" w:color="auto" w:sz="6" w:space="0"/>
              <w:right w:val="single" w:color="auto" w:sz="6" w:space="0"/>
            </w:tcBorders>
            <w:noWrap w:val="0"/>
            <w:vAlign w:val="center"/>
          </w:tcPr>
          <w:p>
            <w:pPr>
              <w:adjustRightInd w:val="0"/>
              <w:snapToGrid w:val="0"/>
              <w:spacing w:line="240" w:lineRule="exact"/>
              <w:jc w:val="center"/>
              <w:rPr>
                <w:rFonts w:ascii="宋体" w:hAnsi="宋体"/>
                <w:color w:val="000000"/>
                <w:sz w:val="24"/>
              </w:rPr>
            </w:pPr>
            <w:r>
              <w:rPr>
                <w:rFonts w:hint="eastAsia" w:ascii="宋体" w:hAnsi="宋体"/>
                <w:color w:val="000000"/>
                <w:sz w:val="24"/>
              </w:rPr>
              <w:t>2</w:t>
            </w:r>
          </w:p>
        </w:tc>
        <w:tc>
          <w:tcPr>
            <w:tcW w:w="61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40" w:lineRule="exact"/>
              <w:jc w:val="center"/>
              <w:rPr>
                <w:rFonts w:ascii="宋体" w:hAnsi="宋体"/>
                <w:color w:val="000000"/>
                <w:sz w:val="24"/>
              </w:rPr>
            </w:pPr>
            <w:r>
              <w:rPr>
                <w:rFonts w:hint="eastAsia" w:ascii="宋体" w:hAnsi="宋体"/>
                <w:color w:val="000000"/>
                <w:sz w:val="24"/>
              </w:rPr>
              <w:t>比选时间表</w:t>
            </w:r>
          </w:p>
        </w:tc>
        <w:tc>
          <w:tcPr>
            <w:tcW w:w="7782" w:type="dxa"/>
            <w:gridSpan w:val="2"/>
            <w:tcBorders>
              <w:top w:val="single" w:color="auto" w:sz="6" w:space="0"/>
              <w:left w:val="single" w:color="auto" w:sz="6" w:space="0"/>
              <w:bottom w:val="single" w:color="auto" w:sz="6" w:space="0"/>
              <w:right w:val="thickThinSmallGap" w:color="auto" w:sz="24" w:space="0"/>
            </w:tcBorders>
            <w:noWrap w:val="0"/>
            <w:vAlign w:val="center"/>
          </w:tcPr>
          <w:p>
            <w:pPr>
              <w:adjustRightInd w:val="0"/>
              <w:snapToGrid w:val="0"/>
              <w:spacing w:line="276" w:lineRule="auto"/>
              <w:jc w:val="left"/>
              <w:rPr>
                <w:rFonts w:ascii="宋体" w:hAnsi="宋体" w:cs="Arial"/>
                <w:color w:val="000000"/>
                <w:sz w:val="24"/>
              </w:rPr>
            </w:pPr>
            <w:r>
              <w:rPr>
                <w:rFonts w:hint="eastAsia" w:ascii="宋体" w:hAnsi="宋体"/>
                <w:color w:val="000000"/>
                <w:sz w:val="24"/>
              </w:rPr>
              <w:t>报名时间：</w:t>
            </w:r>
            <w:r>
              <w:rPr>
                <w:rFonts w:hint="eastAsia" w:ascii="宋体" w:hAnsi="宋体"/>
                <w:color w:val="000000"/>
                <w:sz w:val="24"/>
                <w:u w:val="single"/>
              </w:rPr>
              <w:t>20</w:t>
            </w:r>
            <w:r>
              <w:rPr>
                <w:rFonts w:hint="eastAsia" w:ascii="宋体" w:hAnsi="宋体"/>
                <w:color w:val="000000"/>
                <w:sz w:val="24"/>
                <w:u w:val="single"/>
                <w:lang w:val="en-US" w:eastAsia="zh-CN"/>
              </w:rPr>
              <w:t>20</w:t>
            </w:r>
            <w:r>
              <w:rPr>
                <w:rFonts w:hint="eastAsia" w:ascii="宋体" w:hAnsi="宋体" w:cs="Arial"/>
                <w:color w:val="000000"/>
                <w:sz w:val="24"/>
              </w:rPr>
              <w:t>年</w:t>
            </w:r>
            <w:r>
              <w:rPr>
                <w:rFonts w:hint="eastAsia" w:ascii="宋体" w:hAnsi="宋体"/>
                <w:color w:val="000000"/>
                <w:sz w:val="24"/>
                <w:u w:val="single"/>
                <w:lang w:val="en-US" w:eastAsia="zh-CN"/>
              </w:rPr>
              <w:t>5</w:t>
            </w:r>
            <w:r>
              <w:rPr>
                <w:rFonts w:hint="eastAsia" w:ascii="宋体" w:hAnsi="宋体" w:cs="Arial"/>
                <w:color w:val="000000"/>
                <w:sz w:val="24"/>
              </w:rPr>
              <w:t>月</w:t>
            </w:r>
            <w:r>
              <w:rPr>
                <w:rFonts w:hint="eastAsia" w:ascii="宋体" w:hAnsi="宋体" w:cs="Arial"/>
                <w:color w:val="000000"/>
                <w:sz w:val="24"/>
                <w:u w:val="single"/>
                <w:lang w:val="en-US" w:eastAsia="zh-CN"/>
              </w:rPr>
              <w:t>18</w:t>
            </w:r>
            <w:r>
              <w:rPr>
                <w:rFonts w:hint="eastAsia" w:ascii="宋体" w:hAnsi="宋体" w:cs="Arial"/>
                <w:color w:val="000000"/>
                <w:sz w:val="24"/>
              </w:rPr>
              <w:t>日至</w:t>
            </w:r>
            <w:r>
              <w:rPr>
                <w:rFonts w:hint="eastAsia" w:ascii="宋体" w:hAnsi="宋体"/>
                <w:color w:val="000000"/>
                <w:sz w:val="24"/>
                <w:u w:val="single"/>
                <w:lang w:val="en-US" w:eastAsia="zh-CN"/>
              </w:rPr>
              <w:t>2020</w:t>
            </w:r>
            <w:r>
              <w:rPr>
                <w:rFonts w:hint="eastAsia" w:ascii="宋体" w:hAnsi="宋体" w:cs="Arial"/>
                <w:color w:val="000000"/>
                <w:sz w:val="24"/>
              </w:rPr>
              <w:t>年</w:t>
            </w:r>
            <w:r>
              <w:rPr>
                <w:rFonts w:hint="eastAsia" w:ascii="宋体" w:hAnsi="宋体" w:cs="Arial"/>
                <w:color w:val="000000"/>
                <w:sz w:val="24"/>
                <w:u w:val="single"/>
                <w:lang w:val="en-US" w:eastAsia="zh-CN"/>
              </w:rPr>
              <w:t>5</w:t>
            </w:r>
            <w:r>
              <w:rPr>
                <w:rFonts w:hint="eastAsia" w:ascii="宋体" w:hAnsi="宋体" w:cs="Arial"/>
                <w:color w:val="000000"/>
                <w:sz w:val="24"/>
              </w:rPr>
              <w:t>月</w:t>
            </w:r>
            <w:r>
              <w:rPr>
                <w:rFonts w:hint="eastAsia" w:ascii="宋体" w:hAnsi="宋体" w:cs="Arial"/>
                <w:color w:val="000000"/>
                <w:sz w:val="24"/>
                <w:u w:val="single"/>
                <w:lang w:val="en-US" w:eastAsia="zh-CN"/>
              </w:rPr>
              <w:t>21</w:t>
            </w:r>
            <w:r>
              <w:rPr>
                <w:rFonts w:hint="eastAsia" w:ascii="宋体" w:hAnsi="宋体" w:cs="Arial"/>
                <w:color w:val="000000"/>
                <w:sz w:val="24"/>
              </w:rPr>
              <w:t>日</w:t>
            </w:r>
          </w:p>
          <w:p>
            <w:pPr>
              <w:adjustRightInd w:val="0"/>
              <w:snapToGrid w:val="0"/>
              <w:spacing w:line="276" w:lineRule="auto"/>
              <w:jc w:val="left"/>
              <w:rPr>
                <w:rFonts w:hint="default" w:ascii="宋体" w:hAnsi="宋体" w:eastAsia="宋体"/>
                <w:color w:val="000000"/>
                <w:sz w:val="24"/>
                <w:lang w:val="en-US" w:eastAsia="zh-CN"/>
              </w:rPr>
            </w:pPr>
            <w:r>
              <w:rPr>
                <w:rFonts w:hint="eastAsia" w:ascii="宋体" w:hAnsi="宋体"/>
                <w:color w:val="000000"/>
                <w:sz w:val="24"/>
              </w:rPr>
              <w:t>地址：</w:t>
            </w:r>
            <w:r>
              <w:rPr>
                <w:rFonts w:hint="eastAsia" w:ascii="宋体" w:hAnsi="宋体"/>
                <w:sz w:val="24"/>
              </w:rPr>
              <w:t>成都市成华区玉双路10号</w:t>
            </w:r>
            <w:r>
              <w:rPr>
                <w:rFonts w:hint="eastAsia" w:ascii="宋体" w:hAnsi="宋体"/>
                <w:sz w:val="24"/>
                <w:lang w:eastAsia="zh-CN"/>
              </w:rPr>
              <w:t>中测院综合办公楼</w:t>
            </w:r>
            <w:r>
              <w:rPr>
                <w:rFonts w:hint="eastAsia" w:ascii="宋体" w:hAnsi="宋体"/>
                <w:sz w:val="24"/>
                <w:lang w:val="en-US" w:eastAsia="zh-CN"/>
              </w:rPr>
              <w:t>310会议室</w:t>
            </w:r>
          </w:p>
          <w:p>
            <w:pPr>
              <w:adjustRightInd w:val="0"/>
              <w:snapToGrid w:val="0"/>
              <w:spacing w:line="276" w:lineRule="auto"/>
              <w:jc w:val="left"/>
              <w:rPr>
                <w:rFonts w:hint="eastAsia" w:ascii="宋体" w:hAnsi="宋体"/>
                <w:color w:val="000000"/>
                <w:sz w:val="24"/>
              </w:rPr>
            </w:pPr>
            <w:r>
              <w:rPr>
                <w:rFonts w:hint="eastAsia" w:ascii="宋体" w:hAnsi="宋体"/>
                <w:color w:val="000000"/>
                <w:sz w:val="24"/>
              </w:rPr>
              <w:t>现场踏勘：不组织</w:t>
            </w:r>
          </w:p>
          <w:p>
            <w:pPr>
              <w:adjustRightInd w:val="0"/>
              <w:snapToGrid w:val="0"/>
              <w:spacing w:line="276" w:lineRule="auto"/>
              <w:jc w:val="left"/>
              <w:rPr>
                <w:rFonts w:hint="eastAsia" w:ascii="宋体" w:hAnsi="宋体"/>
                <w:color w:val="000000"/>
                <w:sz w:val="24"/>
              </w:rPr>
            </w:pPr>
            <w:r>
              <w:rPr>
                <w:rFonts w:hint="eastAsia" w:ascii="宋体" w:hAnsi="宋体"/>
                <w:color w:val="000000"/>
                <w:sz w:val="24"/>
              </w:rPr>
              <w:t>踏勘集中地：/</w:t>
            </w:r>
          </w:p>
          <w:p>
            <w:pPr>
              <w:adjustRightInd w:val="0"/>
              <w:snapToGrid w:val="0"/>
              <w:spacing w:line="276" w:lineRule="auto"/>
              <w:jc w:val="left"/>
              <w:rPr>
                <w:rFonts w:hint="eastAsia" w:ascii="宋体" w:hAnsi="宋体"/>
                <w:color w:val="000000"/>
                <w:sz w:val="24"/>
              </w:rPr>
            </w:pPr>
            <w:r>
              <w:rPr>
                <w:rFonts w:hint="eastAsia" w:ascii="宋体" w:hAnsi="宋体"/>
                <w:color w:val="000000"/>
                <w:sz w:val="24"/>
              </w:rPr>
              <w:t>标前会议：不组织</w:t>
            </w:r>
          </w:p>
          <w:p>
            <w:pPr>
              <w:adjustRightInd w:val="0"/>
              <w:snapToGrid w:val="0"/>
              <w:spacing w:line="276" w:lineRule="auto"/>
              <w:jc w:val="left"/>
              <w:rPr>
                <w:rFonts w:ascii="宋体" w:hAnsi="宋体"/>
                <w:color w:val="000000"/>
                <w:sz w:val="24"/>
              </w:rPr>
            </w:pPr>
            <w:r>
              <w:rPr>
                <w:rFonts w:hint="eastAsia" w:ascii="宋体" w:hAnsi="宋体"/>
                <w:color w:val="000000"/>
                <w:sz w:val="24"/>
              </w:rPr>
              <w:t>会议地址：/</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cantSplit/>
          <w:trHeight w:val="715" w:hRule="atLeast"/>
          <w:jc w:val="center"/>
        </w:trPr>
        <w:tc>
          <w:tcPr>
            <w:tcW w:w="738" w:type="dxa"/>
            <w:tcBorders>
              <w:top w:val="single" w:color="auto" w:sz="6" w:space="0"/>
              <w:left w:val="thinThickSmallGap" w:color="auto" w:sz="24" w:space="0"/>
              <w:bottom w:val="single" w:color="auto" w:sz="6" w:space="0"/>
              <w:right w:val="single" w:color="auto" w:sz="6" w:space="0"/>
            </w:tcBorders>
            <w:noWrap w:val="0"/>
            <w:vAlign w:val="center"/>
          </w:tcPr>
          <w:p>
            <w:pPr>
              <w:adjustRightInd w:val="0"/>
              <w:snapToGrid w:val="0"/>
              <w:spacing w:line="240" w:lineRule="exact"/>
              <w:jc w:val="center"/>
              <w:rPr>
                <w:rFonts w:ascii="宋体" w:hAnsi="宋体"/>
                <w:color w:val="000000"/>
                <w:sz w:val="24"/>
              </w:rPr>
            </w:pPr>
            <w:r>
              <w:rPr>
                <w:rFonts w:hint="eastAsia" w:ascii="宋体" w:hAnsi="宋体"/>
                <w:color w:val="000000"/>
                <w:sz w:val="24"/>
              </w:rPr>
              <w:t>3</w:t>
            </w:r>
          </w:p>
        </w:tc>
        <w:tc>
          <w:tcPr>
            <w:tcW w:w="8397" w:type="dxa"/>
            <w:gridSpan w:val="3"/>
            <w:tcBorders>
              <w:top w:val="single" w:color="auto" w:sz="6" w:space="0"/>
              <w:left w:val="single" w:color="auto" w:sz="6" w:space="0"/>
              <w:bottom w:val="single" w:color="auto" w:sz="6" w:space="0"/>
              <w:right w:val="thickThinSmallGap" w:color="auto" w:sz="24" w:space="0"/>
            </w:tcBorders>
            <w:noWrap w:val="0"/>
            <w:vAlign w:val="center"/>
          </w:tcPr>
          <w:p>
            <w:pPr>
              <w:adjustRightInd w:val="0"/>
              <w:snapToGrid w:val="0"/>
              <w:spacing w:line="276" w:lineRule="auto"/>
              <w:jc w:val="left"/>
              <w:rPr>
                <w:rFonts w:ascii="宋体" w:hAnsi="宋体"/>
                <w:color w:val="000000"/>
                <w:sz w:val="24"/>
                <w:u w:val="single"/>
              </w:rPr>
            </w:pPr>
            <w:r>
              <w:rPr>
                <w:rFonts w:hint="eastAsia" w:ascii="宋体" w:hAnsi="宋体"/>
                <w:color w:val="000000"/>
                <w:sz w:val="24"/>
              </w:rPr>
              <w:t>比选申请人单位资质：房屋建筑工程监理乙级及以上</w:t>
            </w:r>
          </w:p>
          <w:p>
            <w:pPr>
              <w:adjustRightInd w:val="0"/>
              <w:snapToGrid w:val="0"/>
              <w:spacing w:line="276" w:lineRule="auto"/>
              <w:jc w:val="left"/>
              <w:rPr>
                <w:rFonts w:ascii="仿宋" w:hAnsi="仿宋" w:eastAsia="仿宋"/>
                <w:b/>
                <w:color w:val="000000"/>
                <w:szCs w:val="21"/>
              </w:rPr>
            </w:pPr>
            <w:r>
              <w:rPr>
                <w:rFonts w:hint="eastAsia" w:ascii="宋体" w:hAnsi="宋体"/>
                <w:color w:val="000000"/>
                <w:sz w:val="24"/>
              </w:rPr>
              <w:t>比选申请人项目负责人资格：全国注册监理工程师资格</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cantSplit/>
          <w:trHeight w:val="445" w:hRule="atLeast"/>
          <w:jc w:val="center"/>
        </w:trPr>
        <w:tc>
          <w:tcPr>
            <w:tcW w:w="738" w:type="dxa"/>
            <w:tcBorders>
              <w:top w:val="single" w:color="auto" w:sz="6" w:space="0"/>
              <w:left w:val="thinThickSmallGap" w:color="auto" w:sz="24" w:space="0"/>
              <w:bottom w:val="single" w:color="auto" w:sz="6" w:space="0"/>
              <w:right w:val="single" w:color="auto" w:sz="6" w:space="0"/>
            </w:tcBorders>
            <w:noWrap w:val="0"/>
            <w:vAlign w:val="center"/>
          </w:tcPr>
          <w:p>
            <w:pPr>
              <w:adjustRightInd w:val="0"/>
              <w:snapToGrid w:val="0"/>
              <w:spacing w:line="240" w:lineRule="exact"/>
              <w:jc w:val="center"/>
              <w:rPr>
                <w:rFonts w:ascii="宋体" w:hAnsi="宋体"/>
                <w:color w:val="000000"/>
                <w:sz w:val="24"/>
              </w:rPr>
            </w:pPr>
            <w:r>
              <w:rPr>
                <w:rFonts w:hint="eastAsia" w:ascii="宋体" w:hAnsi="宋体"/>
                <w:color w:val="000000"/>
                <w:sz w:val="24"/>
              </w:rPr>
              <w:t>4</w:t>
            </w:r>
          </w:p>
        </w:tc>
        <w:tc>
          <w:tcPr>
            <w:tcW w:w="8397" w:type="dxa"/>
            <w:gridSpan w:val="3"/>
            <w:tcBorders>
              <w:top w:val="single" w:color="auto" w:sz="6" w:space="0"/>
              <w:left w:val="single" w:color="auto" w:sz="6" w:space="0"/>
              <w:bottom w:val="single" w:color="auto" w:sz="6" w:space="0"/>
              <w:right w:val="thickThinSmallGap" w:color="auto" w:sz="24" w:space="0"/>
            </w:tcBorders>
            <w:noWrap w:val="0"/>
            <w:vAlign w:val="center"/>
          </w:tcPr>
          <w:p>
            <w:pPr>
              <w:adjustRightInd w:val="0"/>
              <w:snapToGrid w:val="0"/>
              <w:spacing w:line="240" w:lineRule="exact"/>
              <w:rPr>
                <w:rFonts w:ascii="宋体" w:hAnsi="宋体"/>
                <w:color w:val="000000"/>
                <w:sz w:val="24"/>
              </w:rPr>
            </w:pPr>
            <w:r>
              <w:rPr>
                <w:rFonts w:hint="eastAsia" w:ascii="宋体" w:hAnsi="宋体"/>
                <w:color w:val="000000"/>
                <w:sz w:val="24"/>
              </w:rPr>
              <w:t>比选申请文件份数：正本一份、副本二份（副本由正本签字盖章后复印）</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trHeight w:val="911" w:hRule="atLeast"/>
          <w:jc w:val="center"/>
        </w:trPr>
        <w:tc>
          <w:tcPr>
            <w:tcW w:w="738" w:type="dxa"/>
            <w:tcBorders>
              <w:top w:val="single" w:color="auto" w:sz="6" w:space="0"/>
              <w:left w:val="thinThickSmallGap" w:color="auto" w:sz="24" w:space="0"/>
              <w:bottom w:val="single" w:color="auto" w:sz="6" w:space="0"/>
              <w:right w:val="single" w:color="auto" w:sz="6" w:space="0"/>
            </w:tcBorders>
            <w:noWrap w:val="0"/>
            <w:vAlign w:val="center"/>
          </w:tcPr>
          <w:p>
            <w:pPr>
              <w:adjustRightInd w:val="0"/>
              <w:snapToGrid w:val="0"/>
              <w:spacing w:line="240" w:lineRule="exact"/>
              <w:jc w:val="center"/>
              <w:rPr>
                <w:rFonts w:ascii="宋体" w:hAnsi="宋体"/>
                <w:color w:val="000000"/>
                <w:sz w:val="24"/>
              </w:rPr>
            </w:pPr>
            <w:r>
              <w:rPr>
                <w:rFonts w:hint="eastAsia" w:ascii="宋体" w:hAnsi="宋体"/>
                <w:color w:val="000000"/>
                <w:sz w:val="24"/>
              </w:rPr>
              <w:t>5</w:t>
            </w:r>
          </w:p>
        </w:tc>
        <w:tc>
          <w:tcPr>
            <w:tcW w:w="720" w:type="dxa"/>
            <w:gridSpan w:val="2"/>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40" w:lineRule="exact"/>
              <w:jc w:val="center"/>
              <w:rPr>
                <w:rFonts w:ascii="宋体" w:hAnsi="宋体"/>
                <w:color w:val="000000"/>
                <w:sz w:val="24"/>
              </w:rPr>
            </w:pPr>
            <w:r>
              <w:rPr>
                <w:rFonts w:hint="eastAsia" w:ascii="宋体" w:hAnsi="宋体"/>
                <w:color w:val="000000"/>
                <w:sz w:val="24"/>
              </w:rPr>
              <w:t>申请文件递交</w:t>
            </w:r>
          </w:p>
        </w:tc>
        <w:tc>
          <w:tcPr>
            <w:tcW w:w="7677" w:type="dxa"/>
            <w:tcBorders>
              <w:top w:val="single" w:color="auto" w:sz="6" w:space="0"/>
              <w:left w:val="single" w:color="auto" w:sz="6" w:space="0"/>
              <w:bottom w:val="single" w:color="auto" w:sz="6" w:space="0"/>
              <w:right w:val="thickThinSmallGap" w:color="auto" w:sz="24" w:space="0"/>
            </w:tcBorders>
            <w:noWrap w:val="0"/>
            <w:vAlign w:val="center"/>
          </w:tcPr>
          <w:p>
            <w:pPr>
              <w:adjustRightInd w:val="0"/>
              <w:snapToGrid w:val="0"/>
              <w:spacing w:line="240" w:lineRule="exact"/>
              <w:rPr>
                <w:rFonts w:hint="eastAsia" w:ascii="宋体" w:hAnsi="宋体"/>
                <w:color w:val="000000"/>
                <w:sz w:val="24"/>
              </w:rPr>
            </w:pPr>
            <w:r>
              <w:rPr>
                <w:rFonts w:hint="eastAsia" w:ascii="宋体" w:hAnsi="宋体"/>
                <w:color w:val="000000"/>
                <w:sz w:val="24"/>
              </w:rPr>
              <w:t>于20</w:t>
            </w:r>
            <w:r>
              <w:rPr>
                <w:rFonts w:hint="eastAsia" w:ascii="宋体" w:hAnsi="宋体"/>
                <w:color w:val="000000"/>
                <w:sz w:val="24"/>
                <w:lang w:val="en-US" w:eastAsia="zh-CN"/>
              </w:rPr>
              <w:t>20</w:t>
            </w:r>
            <w:r>
              <w:rPr>
                <w:rFonts w:hint="eastAsia" w:ascii="宋体" w:hAnsi="宋体"/>
                <w:color w:val="000000"/>
                <w:sz w:val="24"/>
              </w:rPr>
              <w:t>年</w:t>
            </w:r>
            <w:r>
              <w:rPr>
                <w:rFonts w:hint="eastAsia" w:ascii="宋体" w:hAnsi="宋体"/>
                <w:color w:val="000000"/>
                <w:sz w:val="24"/>
                <w:lang w:val="en-US" w:eastAsia="zh-CN"/>
              </w:rPr>
              <w:t>5</w:t>
            </w:r>
            <w:r>
              <w:rPr>
                <w:rFonts w:hint="eastAsia" w:ascii="宋体" w:hAnsi="宋体"/>
                <w:color w:val="000000"/>
                <w:sz w:val="24"/>
              </w:rPr>
              <w:t>月</w:t>
            </w:r>
            <w:r>
              <w:rPr>
                <w:rFonts w:hint="eastAsia" w:ascii="宋体" w:hAnsi="宋体"/>
                <w:color w:val="000000"/>
                <w:sz w:val="24"/>
                <w:lang w:val="en-US" w:eastAsia="zh-CN"/>
              </w:rPr>
              <w:t>21</w:t>
            </w:r>
            <w:r>
              <w:rPr>
                <w:rFonts w:hint="eastAsia" w:ascii="宋体" w:hAnsi="宋体"/>
                <w:color w:val="000000"/>
                <w:sz w:val="24"/>
              </w:rPr>
              <w:t>日北京时间</w:t>
            </w:r>
            <w:r>
              <w:rPr>
                <w:rFonts w:hint="eastAsia" w:ascii="宋体" w:hAnsi="宋体"/>
                <w:color w:val="000000"/>
                <w:sz w:val="24"/>
                <w:lang w:val="en-US" w:eastAsia="zh-CN"/>
              </w:rPr>
              <w:t>15</w:t>
            </w:r>
            <w:r>
              <w:rPr>
                <w:rFonts w:hint="eastAsia" w:ascii="宋体" w:hAnsi="宋体"/>
                <w:color w:val="000000"/>
                <w:sz w:val="24"/>
              </w:rPr>
              <w:t>时00分前以当面递交至：成都市成华区玉双路10号中国测试技术研究院综合楼</w:t>
            </w:r>
            <w:r>
              <w:rPr>
                <w:rFonts w:hint="eastAsia" w:ascii="宋体" w:hAnsi="宋体"/>
                <w:color w:val="000000"/>
                <w:sz w:val="24"/>
                <w:lang w:val="en-US" w:eastAsia="zh-CN"/>
              </w:rPr>
              <w:t>310</w:t>
            </w:r>
            <w:r>
              <w:rPr>
                <w:rFonts w:hint="eastAsia" w:ascii="宋体" w:hAnsi="宋体"/>
                <w:color w:val="000000"/>
                <w:sz w:val="24"/>
              </w:rPr>
              <w:t>室</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cantSplit/>
          <w:trHeight w:val="695" w:hRule="atLeast"/>
          <w:jc w:val="center"/>
        </w:trPr>
        <w:tc>
          <w:tcPr>
            <w:tcW w:w="738" w:type="dxa"/>
            <w:tcBorders>
              <w:top w:val="single" w:color="auto" w:sz="6" w:space="0"/>
              <w:left w:val="thinThickSmallGap" w:color="auto" w:sz="24" w:space="0"/>
              <w:bottom w:val="single" w:color="auto" w:sz="6" w:space="0"/>
              <w:right w:val="single" w:color="auto" w:sz="6" w:space="0"/>
            </w:tcBorders>
            <w:noWrap w:val="0"/>
            <w:vAlign w:val="center"/>
          </w:tcPr>
          <w:p>
            <w:pPr>
              <w:adjustRightInd w:val="0"/>
              <w:snapToGrid w:val="0"/>
              <w:spacing w:line="240" w:lineRule="exact"/>
              <w:jc w:val="center"/>
              <w:rPr>
                <w:rFonts w:ascii="宋体" w:hAnsi="宋体"/>
                <w:color w:val="000000"/>
                <w:sz w:val="24"/>
              </w:rPr>
            </w:pPr>
            <w:r>
              <w:rPr>
                <w:rFonts w:hint="eastAsia" w:ascii="宋体" w:hAnsi="宋体"/>
                <w:color w:val="000000"/>
                <w:sz w:val="24"/>
              </w:rPr>
              <w:t>6</w:t>
            </w:r>
          </w:p>
        </w:tc>
        <w:tc>
          <w:tcPr>
            <w:tcW w:w="8397" w:type="dxa"/>
            <w:gridSpan w:val="3"/>
            <w:tcBorders>
              <w:top w:val="single" w:color="auto" w:sz="6" w:space="0"/>
              <w:left w:val="single" w:color="auto" w:sz="6" w:space="0"/>
              <w:bottom w:val="single" w:color="auto" w:sz="6" w:space="0"/>
              <w:right w:val="thickThinSmallGap" w:color="auto" w:sz="24" w:space="0"/>
            </w:tcBorders>
            <w:noWrap w:val="0"/>
            <w:vAlign w:val="center"/>
          </w:tcPr>
          <w:p>
            <w:pPr>
              <w:adjustRightInd w:val="0"/>
              <w:snapToGrid w:val="0"/>
              <w:jc w:val="left"/>
              <w:rPr>
                <w:rFonts w:ascii="宋体" w:hAnsi="宋体"/>
                <w:color w:val="000000"/>
                <w:sz w:val="24"/>
              </w:rPr>
            </w:pPr>
            <w:r>
              <w:rPr>
                <w:rFonts w:hint="eastAsia" w:ascii="宋体" w:hAnsi="宋体"/>
                <w:color w:val="000000"/>
                <w:sz w:val="24"/>
              </w:rPr>
              <w:t>申请文件接受截止即比选时间：20</w:t>
            </w:r>
            <w:r>
              <w:rPr>
                <w:rFonts w:hint="eastAsia" w:ascii="宋体" w:hAnsi="宋体"/>
                <w:color w:val="000000"/>
                <w:sz w:val="24"/>
                <w:lang w:val="en-US" w:eastAsia="zh-CN"/>
              </w:rPr>
              <w:t>20</w:t>
            </w:r>
            <w:r>
              <w:rPr>
                <w:rFonts w:hint="eastAsia" w:ascii="宋体" w:hAnsi="宋体"/>
                <w:color w:val="000000"/>
                <w:sz w:val="24"/>
              </w:rPr>
              <w:t>年</w:t>
            </w:r>
            <w:r>
              <w:rPr>
                <w:rFonts w:hint="eastAsia" w:ascii="宋体" w:hAnsi="宋体"/>
                <w:color w:val="000000"/>
                <w:sz w:val="24"/>
                <w:lang w:val="en-US" w:eastAsia="zh-CN"/>
              </w:rPr>
              <w:t>5</w:t>
            </w:r>
            <w:r>
              <w:rPr>
                <w:rFonts w:hint="eastAsia" w:ascii="宋体" w:hAnsi="宋体"/>
                <w:color w:val="000000"/>
                <w:sz w:val="24"/>
              </w:rPr>
              <w:t>月</w:t>
            </w:r>
            <w:r>
              <w:rPr>
                <w:rFonts w:hint="eastAsia" w:ascii="宋体" w:hAnsi="宋体"/>
                <w:color w:val="000000"/>
                <w:sz w:val="24"/>
                <w:lang w:val="en-US" w:eastAsia="zh-CN"/>
              </w:rPr>
              <w:t>21</w:t>
            </w:r>
            <w:r>
              <w:rPr>
                <w:rFonts w:hint="eastAsia" w:ascii="宋体" w:hAnsi="宋体"/>
                <w:color w:val="000000"/>
                <w:sz w:val="24"/>
              </w:rPr>
              <w:t>日北京时间</w:t>
            </w:r>
            <w:r>
              <w:rPr>
                <w:rFonts w:hint="eastAsia" w:ascii="宋体" w:hAnsi="宋体"/>
                <w:color w:val="000000"/>
                <w:sz w:val="24"/>
                <w:lang w:val="en-US" w:eastAsia="zh-CN"/>
              </w:rPr>
              <w:t>15</w:t>
            </w:r>
            <w:r>
              <w:rPr>
                <w:rFonts w:hint="eastAsia" w:ascii="宋体" w:hAnsi="宋体"/>
                <w:color w:val="000000"/>
                <w:sz w:val="24"/>
              </w:rPr>
              <w:t>时00分</w:t>
            </w:r>
          </w:p>
          <w:p>
            <w:pPr>
              <w:adjustRightInd w:val="0"/>
              <w:snapToGrid w:val="0"/>
              <w:jc w:val="left"/>
              <w:rPr>
                <w:rFonts w:ascii="宋体" w:hAnsi="宋体"/>
                <w:color w:val="000000"/>
                <w:sz w:val="24"/>
              </w:rPr>
            </w:pPr>
            <w:r>
              <w:rPr>
                <w:rFonts w:hint="eastAsia" w:ascii="宋体" w:hAnsi="宋体"/>
                <w:color w:val="000000"/>
                <w:sz w:val="24"/>
              </w:rPr>
              <w:t>地址：</w:t>
            </w:r>
            <w:r>
              <w:rPr>
                <w:rFonts w:hint="eastAsia" w:ascii="宋体" w:hAnsi="宋体"/>
                <w:sz w:val="24"/>
              </w:rPr>
              <w:t>成都市成华区玉双路</w:t>
            </w:r>
            <w:bookmarkStart w:id="2" w:name="_GoBack"/>
            <w:bookmarkEnd w:id="2"/>
            <w:r>
              <w:rPr>
                <w:rFonts w:hint="eastAsia" w:ascii="宋体" w:hAnsi="宋体"/>
                <w:sz w:val="24"/>
              </w:rPr>
              <w:t>10号（</w:t>
            </w:r>
            <w:r>
              <w:rPr>
                <w:rFonts w:hint="eastAsia"/>
                <w:sz w:val="24"/>
              </w:rPr>
              <w:t>中国测试技术研究院）</w:t>
            </w:r>
          </w:p>
        </w:tc>
      </w:tr>
    </w:tbl>
    <w:p>
      <w:pPr>
        <w:spacing w:line="560" w:lineRule="exact"/>
        <w:jc w:val="center"/>
        <w:rPr>
          <w:rFonts w:hint="eastAsia" w:ascii="宋体" w:hAnsi="宋体"/>
          <w:b/>
          <w:bCs/>
          <w:color w:val="000000"/>
          <w:sz w:val="28"/>
          <w:szCs w:val="28"/>
        </w:rPr>
      </w:pPr>
      <w:r>
        <w:rPr>
          <w:rFonts w:hint="eastAsia" w:ascii="宋体" w:hAnsi="宋体"/>
          <w:b/>
          <w:bCs/>
          <w:color w:val="000000"/>
          <w:sz w:val="28"/>
          <w:szCs w:val="28"/>
        </w:rPr>
        <w:br w:type="page"/>
      </w:r>
      <w:r>
        <w:rPr>
          <w:rFonts w:hint="eastAsia" w:ascii="宋体" w:hAnsi="宋体"/>
          <w:b/>
          <w:bCs/>
          <w:color w:val="000000"/>
          <w:sz w:val="28"/>
          <w:szCs w:val="28"/>
        </w:rPr>
        <w:t>二、比选相关事项</w:t>
      </w:r>
    </w:p>
    <w:p>
      <w:pPr>
        <w:spacing w:line="560" w:lineRule="exact"/>
        <w:jc w:val="center"/>
        <w:rPr>
          <w:rFonts w:hint="eastAsia" w:ascii="宋体" w:hAnsi="宋体"/>
          <w:b/>
          <w:bCs/>
          <w:color w:val="000000"/>
          <w:sz w:val="36"/>
          <w:szCs w:val="36"/>
        </w:rPr>
      </w:pPr>
    </w:p>
    <w:p>
      <w:pPr>
        <w:adjustRightInd w:val="0"/>
        <w:snapToGrid w:val="0"/>
        <w:spacing w:line="360" w:lineRule="auto"/>
        <w:ind w:firstLine="482" w:firstLineChars="200"/>
        <w:jc w:val="left"/>
        <w:rPr>
          <w:rFonts w:hint="eastAsia" w:ascii="宋体" w:hAnsi="宋体"/>
          <w:b/>
          <w:color w:val="000000"/>
          <w:sz w:val="24"/>
        </w:rPr>
      </w:pPr>
      <w:r>
        <w:rPr>
          <w:rFonts w:hint="eastAsia" w:ascii="宋体" w:hAnsi="宋体"/>
          <w:b/>
          <w:color w:val="000000"/>
          <w:sz w:val="24"/>
        </w:rPr>
        <w:t>1 申请文件的组成</w:t>
      </w:r>
    </w:p>
    <w:p>
      <w:pPr>
        <w:adjustRightInd w:val="0"/>
        <w:snapToGrid w:val="0"/>
        <w:spacing w:line="360" w:lineRule="auto"/>
        <w:ind w:firstLine="480" w:firstLineChars="200"/>
        <w:jc w:val="left"/>
        <w:rPr>
          <w:rFonts w:hint="eastAsia" w:ascii="宋体" w:hAnsi="宋体"/>
          <w:color w:val="000000"/>
          <w:sz w:val="24"/>
        </w:rPr>
      </w:pPr>
      <w:r>
        <w:rPr>
          <w:rFonts w:hint="eastAsia" w:ascii="宋体" w:hAnsi="宋体"/>
          <w:color w:val="000000"/>
          <w:sz w:val="24"/>
        </w:rPr>
        <w:t>比选申请人（简称申请人）编写的申请文件，应包括下列各项内容：</w:t>
      </w:r>
    </w:p>
    <w:p>
      <w:pPr>
        <w:adjustRightInd w:val="0"/>
        <w:snapToGrid w:val="0"/>
        <w:spacing w:line="360" w:lineRule="auto"/>
        <w:ind w:firstLine="480" w:firstLineChars="200"/>
        <w:jc w:val="left"/>
        <w:rPr>
          <w:rFonts w:hint="eastAsia" w:ascii="宋体" w:hAnsi="宋体"/>
          <w:color w:val="000000"/>
          <w:sz w:val="24"/>
        </w:rPr>
      </w:pPr>
      <w:r>
        <w:rPr>
          <w:rFonts w:hint="eastAsia" w:ascii="宋体" w:hAnsi="宋体"/>
          <w:color w:val="000000"/>
          <w:sz w:val="24"/>
        </w:rPr>
        <w:t>（1）法定代表人授权书</w:t>
      </w:r>
    </w:p>
    <w:p>
      <w:pPr>
        <w:adjustRightInd w:val="0"/>
        <w:snapToGrid w:val="0"/>
        <w:spacing w:line="360" w:lineRule="auto"/>
        <w:ind w:firstLine="480" w:firstLineChars="200"/>
        <w:jc w:val="left"/>
        <w:rPr>
          <w:rFonts w:hint="eastAsia" w:ascii="宋体" w:hAnsi="宋体"/>
          <w:color w:val="000000"/>
          <w:sz w:val="24"/>
        </w:rPr>
      </w:pPr>
      <w:r>
        <w:rPr>
          <w:rFonts w:hint="eastAsia" w:ascii="宋体" w:hAnsi="宋体"/>
          <w:color w:val="000000"/>
          <w:sz w:val="24"/>
        </w:rPr>
        <w:t>（2）比选申请函</w:t>
      </w:r>
    </w:p>
    <w:p>
      <w:pPr>
        <w:adjustRightInd w:val="0"/>
        <w:snapToGrid w:val="0"/>
        <w:spacing w:line="360" w:lineRule="auto"/>
        <w:ind w:firstLine="480" w:firstLineChars="200"/>
        <w:jc w:val="left"/>
        <w:rPr>
          <w:rFonts w:hint="eastAsia" w:ascii="宋体" w:hAnsi="宋体"/>
          <w:color w:val="000000"/>
          <w:sz w:val="24"/>
        </w:rPr>
      </w:pPr>
      <w:r>
        <w:rPr>
          <w:rFonts w:hint="eastAsia" w:ascii="宋体" w:hAnsi="宋体"/>
          <w:color w:val="000000"/>
          <w:sz w:val="24"/>
        </w:rPr>
        <w:t>（3）申请人基本情况表</w:t>
      </w:r>
    </w:p>
    <w:p>
      <w:pPr>
        <w:adjustRightInd w:val="0"/>
        <w:snapToGrid w:val="0"/>
        <w:spacing w:line="360" w:lineRule="auto"/>
        <w:ind w:firstLine="480" w:firstLineChars="200"/>
        <w:jc w:val="left"/>
        <w:rPr>
          <w:rFonts w:hint="eastAsia" w:ascii="宋体" w:hAnsi="宋体"/>
          <w:color w:val="000000"/>
          <w:sz w:val="24"/>
        </w:rPr>
      </w:pPr>
      <w:r>
        <w:rPr>
          <w:rFonts w:hint="eastAsia" w:ascii="宋体" w:hAnsi="宋体"/>
          <w:color w:val="000000"/>
          <w:sz w:val="24"/>
        </w:rPr>
        <w:t>（4）项目管理机构</w:t>
      </w:r>
    </w:p>
    <w:p>
      <w:pPr>
        <w:adjustRightInd w:val="0"/>
        <w:snapToGrid w:val="0"/>
        <w:spacing w:line="360" w:lineRule="auto"/>
        <w:ind w:firstLine="480" w:firstLineChars="200"/>
        <w:jc w:val="left"/>
        <w:rPr>
          <w:rFonts w:hint="eastAsia" w:ascii="宋体" w:hAnsi="宋体"/>
          <w:color w:val="000000"/>
          <w:sz w:val="24"/>
        </w:rPr>
      </w:pPr>
      <w:r>
        <w:rPr>
          <w:rFonts w:hint="eastAsia" w:ascii="宋体" w:hAnsi="宋体"/>
          <w:color w:val="000000"/>
          <w:sz w:val="24"/>
        </w:rPr>
        <w:t>（5）完成的类似项目情况表</w:t>
      </w:r>
    </w:p>
    <w:p>
      <w:pPr>
        <w:adjustRightInd w:val="0"/>
        <w:snapToGrid w:val="0"/>
        <w:spacing w:line="360" w:lineRule="auto"/>
        <w:ind w:firstLine="480" w:firstLineChars="200"/>
        <w:jc w:val="left"/>
        <w:rPr>
          <w:rFonts w:hint="eastAsia" w:ascii="宋体" w:hAnsi="宋体"/>
          <w:color w:val="000000"/>
          <w:sz w:val="24"/>
        </w:rPr>
      </w:pPr>
      <w:r>
        <w:rPr>
          <w:rFonts w:hint="eastAsia" w:ascii="宋体" w:hAnsi="宋体"/>
          <w:bCs/>
          <w:color w:val="000000"/>
          <w:sz w:val="24"/>
        </w:rPr>
        <w:t>以上内容都必须按照比选</w:t>
      </w:r>
      <w:r>
        <w:rPr>
          <w:rFonts w:hint="eastAsia" w:ascii="宋体" w:hAnsi="宋体"/>
          <w:bCs/>
          <w:color w:val="000000"/>
          <w:sz w:val="24"/>
          <w:lang w:eastAsia="zh-CN"/>
        </w:rPr>
        <w:t>公告附件</w:t>
      </w:r>
      <w:r>
        <w:rPr>
          <w:rFonts w:hint="eastAsia" w:ascii="宋体" w:hAnsi="宋体"/>
          <w:bCs/>
          <w:color w:val="000000"/>
          <w:sz w:val="24"/>
          <w:lang w:val="en-US" w:eastAsia="zh-CN"/>
        </w:rPr>
        <w:t>3</w:t>
      </w:r>
      <w:r>
        <w:rPr>
          <w:rFonts w:hint="eastAsia" w:ascii="宋体" w:hAnsi="宋体"/>
          <w:color w:val="000000"/>
          <w:sz w:val="24"/>
        </w:rPr>
        <w:t>中提供的格式编制，申请人不得修改。</w:t>
      </w:r>
    </w:p>
    <w:p>
      <w:pPr>
        <w:adjustRightInd w:val="0"/>
        <w:snapToGrid w:val="0"/>
        <w:spacing w:line="360" w:lineRule="auto"/>
        <w:ind w:firstLine="482" w:firstLineChars="200"/>
        <w:jc w:val="left"/>
        <w:rPr>
          <w:rFonts w:hint="eastAsia" w:ascii="宋体" w:hAnsi="宋体"/>
          <w:b/>
          <w:bCs/>
          <w:color w:val="000000"/>
          <w:sz w:val="24"/>
        </w:rPr>
      </w:pPr>
      <w:r>
        <w:rPr>
          <w:rFonts w:hint="eastAsia" w:ascii="宋体" w:hAnsi="宋体"/>
          <w:b/>
          <w:bCs/>
          <w:color w:val="000000"/>
          <w:sz w:val="24"/>
        </w:rPr>
        <w:t>2 申请价格</w:t>
      </w:r>
    </w:p>
    <w:p>
      <w:pPr>
        <w:adjustRightInd w:val="0"/>
        <w:snapToGrid w:val="0"/>
        <w:spacing w:line="360" w:lineRule="auto"/>
        <w:ind w:firstLine="480" w:firstLineChars="200"/>
        <w:jc w:val="left"/>
        <w:rPr>
          <w:rFonts w:hint="eastAsia" w:ascii="宋体" w:hAnsi="宋体"/>
          <w:bCs/>
          <w:sz w:val="24"/>
        </w:rPr>
      </w:pPr>
      <w:r>
        <w:rPr>
          <w:rFonts w:hint="eastAsia" w:ascii="宋体" w:hAnsi="宋体"/>
          <w:bCs/>
          <w:sz w:val="24"/>
        </w:rPr>
        <w:t>2.1</w:t>
      </w:r>
      <w:r>
        <w:rPr>
          <w:rFonts w:hint="eastAsia" w:ascii="宋体" w:hAnsi="宋体"/>
          <w:bCs/>
          <w:sz w:val="24"/>
          <w:lang w:val="en-US" w:eastAsia="zh-CN"/>
        </w:rPr>
        <w:t xml:space="preserve"> </w:t>
      </w:r>
      <w:r>
        <w:rPr>
          <w:rFonts w:hint="eastAsia" w:ascii="宋体" w:hAnsi="宋体"/>
          <w:bCs/>
          <w:sz w:val="24"/>
        </w:rPr>
        <w:t>本项目监理与相关服务的报价根据《国家发展改革委关于进一步放开建设项目专业服务价格的通知》（发改价格〔2015〕299号）的规定进行报价；投标人所填报的报价在合同实施期间不得因政策性和市场因素的变化而变化。投标人在计算投标报价时应考虑投标人自身的管理水平和风险。</w:t>
      </w:r>
    </w:p>
    <w:p>
      <w:pPr>
        <w:tabs>
          <w:tab w:val="left" w:pos="360"/>
          <w:tab w:val="left" w:pos="900"/>
        </w:tabs>
        <w:spacing w:line="360" w:lineRule="auto"/>
        <w:ind w:firstLine="480" w:firstLineChars="200"/>
        <w:jc w:val="left"/>
        <w:rPr>
          <w:rFonts w:hint="eastAsia" w:ascii="宋体" w:hAnsi="宋体"/>
          <w:color w:val="000000"/>
          <w:sz w:val="24"/>
        </w:rPr>
      </w:pPr>
      <w:r>
        <w:rPr>
          <w:rFonts w:hint="eastAsia" w:ascii="宋体" w:hAnsi="宋体"/>
          <w:bCs/>
          <w:sz w:val="24"/>
        </w:rPr>
        <w:t>2.2</w:t>
      </w:r>
      <w:r>
        <w:rPr>
          <w:rFonts w:hint="eastAsia" w:ascii="宋体" w:hAnsi="宋体"/>
          <w:bCs/>
          <w:sz w:val="24"/>
          <w:lang w:val="en-US" w:eastAsia="zh-CN"/>
        </w:rPr>
        <w:t xml:space="preserve"> </w:t>
      </w:r>
      <w:r>
        <w:rPr>
          <w:rFonts w:hint="eastAsia" w:ascii="宋体" w:hAnsi="宋体"/>
          <w:color w:val="000000"/>
          <w:sz w:val="24"/>
        </w:rPr>
        <w:t>本项目监理与相关服务的费用是为实施正常监理与相关服务所需的全部费用，除合同另有规定外，本次投标报价为工程监理与相关服务费用的全部和唯一来源，投标人不得在合同实施过程中，收受其他任何费用、回扣或佣金。监理人员的办公生活用房由承包人在当地自行租赁，费用由承包人承担；办公生活设施、设备以及交通工具等由监理单位自备，其设施费用由投标人计入报价费用中，此项费用仅计入折旧费、维修保养费和消耗费，不包括残值。监理服务结束后，其产权仍归监理单位所有。</w:t>
      </w:r>
    </w:p>
    <w:p>
      <w:pPr>
        <w:tabs>
          <w:tab w:val="left" w:pos="360"/>
          <w:tab w:val="left" w:pos="900"/>
        </w:tabs>
        <w:spacing w:line="360" w:lineRule="auto"/>
        <w:ind w:firstLine="480" w:firstLineChars="200"/>
        <w:jc w:val="left"/>
        <w:rPr>
          <w:rFonts w:hint="eastAsia" w:ascii="宋体" w:hAnsi="宋体"/>
          <w:color w:val="000000"/>
          <w:sz w:val="24"/>
        </w:rPr>
      </w:pPr>
      <w:r>
        <w:rPr>
          <w:rFonts w:hint="eastAsia" w:ascii="宋体" w:hAnsi="宋体"/>
          <w:color w:val="000000"/>
          <w:sz w:val="24"/>
        </w:rPr>
        <w:t>2.3</w:t>
      </w:r>
      <w:r>
        <w:rPr>
          <w:rFonts w:hint="eastAsia" w:ascii="宋体" w:hAnsi="宋体"/>
          <w:color w:val="000000"/>
          <w:sz w:val="24"/>
          <w:lang w:val="en-US" w:eastAsia="zh-CN"/>
        </w:rPr>
        <w:t xml:space="preserve"> </w:t>
      </w:r>
      <w:r>
        <w:rPr>
          <w:rFonts w:hint="eastAsia" w:ascii="宋体" w:hAnsi="宋体"/>
          <w:color w:val="000000"/>
          <w:sz w:val="24"/>
        </w:rPr>
        <w:t>监理服务报价中应包含该合同段保修期的监理服务内容。</w:t>
      </w:r>
    </w:p>
    <w:p>
      <w:pPr>
        <w:adjustRightInd w:val="0"/>
        <w:snapToGrid w:val="0"/>
        <w:spacing w:line="360" w:lineRule="auto"/>
        <w:ind w:firstLine="480" w:firstLineChars="200"/>
        <w:jc w:val="left"/>
        <w:rPr>
          <w:rFonts w:hint="eastAsia" w:ascii="宋体" w:hAnsi="宋体"/>
          <w:color w:val="000000"/>
          <w:sz w:val="24"/>
        </w:rPr>
      </w:pPr>
      <w:r>
        <w:rPr>
          <w:rFonts w:hint="eastAsia" w:ascii="宋体" w:hAnsi="宋体"/>
          <w:color w:val="000000"/>
          <w:sz w:val="24"/>
        </w:rPr>
        <w:t>2.4</w:t>
      </w:r>
      <w:r>
        <w:rPr>
          <w:rFonts w:hint="eastAsia" w:ascii="宋体" w:hAnsi="宋体"/>
          <w:color w:val="000000"/>
          <w:sz w:val="24"/>
          <w:lang w:val="en-US" w:eastAsia="zh-CN"/>
        </w:rPr>
        <w:t xml:space="preserve"> </w:t>
      </w:r>
      <w:r>
        <w:rPr>
          <w:rFonts w:hint="eastAsia" w:ascii="宋体" w:hAnsi="宋体"/>
          <w:color w:val="000000"/>
          <w:sz w:val="24"/>
        </w:rPr>
        <w:t>投标人提供的服务，应当符合国家和行业有关标准规范，满足合同约定的服务内容和质量等要求。不得违反标准规范规定或合同约定，通过降低服务质量、减少服务内容等手段进行恶性竞争，扰乱正常市场秩序。</w:t>
      </w:r>
    </w:p>
    <w:p>
      <w:pPr>
        <w:adjustRightInd w:val="0"/>
        <w:snapToGrid w:val="0"/>
        <w:spacing w:line="360" w:lineRule="auto"/>
        <w:ind w:firstLine="480" w:firstLineChars="200"/>
        <w:jc w:val="left"/>
        <w:rPr>
          <w:rFonts w:hint="eastAsia" w:ascii="宋体" w:hAnsi="宋体"/>
          <w:bCs/>
          <w:color w:val="000000"/>
          <w:sz w:val="24"/>
        </w:rPr>
      </w:pPr>
      <w:r>
        <w:rPr>
          <w:rFonts w:hint="eastAsia" w:ascii="宋体" w:hAnsi="宋体"/>
          <w:bCs/>
          <w:color w:val="000000"/>
          <w:sz w:val="24"/>
        </w:rPr>
        <w:t>2.5</w:t>
      </w:r>
      <w:r>
        <w:rPr>
          <w:rFonts w:hint="eastAsia" w:ascii="宋体" w:hAnsi="宋体"/>
          <w:bCs/>
          <w:color w:val="000000"/>
          <w:sz w:val="24"/>
          <w:lang w:val="en-US" w:eastAsia="zh-CN"/>
        </w:rPr>
        <w:t xml:space="preserve"> </w:t>
      </w:r>
      <w:r>
        <w:rPr>
          <w:rFonts w:hint="eastAsia" w:ascii="宋体" w:hAnsi="宋体"/>
          <w:bCs/>
          <w:color w:val="000000"/>
          <w:sz w:val="24"/>
        </w:rPr>
        <w:t>本项目设</w:t>
      </w:r>
      <w:r>
        <w:rPr>
          <w:rFonts w:hint="eastAsia" w:ascii="黑体" w:hAnsi="黑体" w:eastAsia="黑体"/>
          <w:b/>
          <w:bCs/>
          <w:color w:val="000000"/>
          <w:sz w:val="24"/>
          <w:highlight w:val="none"/>
          <w:u w:val="single"/>
          <w:lang w:val="en-US" w:eastAsia="zh-CN"/>
        </w:rPr>
        <w:t>19.2</w:t>
      </w:r>
      <w:r>
        <w:rPr>
          <w:rFonts w:hint="eastAsia" w:ascii="宋体" w:hAnsi="宋体"/>
          <w:bCs/>
          <w:color w:val="000000"/>
          <w:sz w:val="24"/>
        </w:rPr>
        <w:t>万元为比选上限控制价格，报价高于上限控制价格时，作无效报价处理</w:t>
      </w:r>
    </w:p>
    <w:p>
      <w:pPr>
        <w:adjustRightInd w:val="0"/>
        <w:snapToGrid w:val="0"/>
        <w:spacing w:line="360" w:lineRule="auto"/>
        <w:ind w:firstLine="482" w:firstLineChars="200"/>
        <w:jc w:val="left"/>
        <w:rPr>
          <w:rFonts w:hint="eastAsia" w:ascii="宋体" w:hAnsi="宋体"/>
          <w:b/>
          <w:bCs/>
          <w:color w:val="000000"/>
          <w:sz w:val="24"/>
        </w:rPr>
      </w:pPr>
      <w:r>
        <w:rPr>
          <w:rFonts w:hint="eastAsia" w:ascii="宋体" w:hAnsi="宋体"/>
          <w:b/>
          <w:bCs/>
          <w:color w:val="000000"/>
          <w:sz w:val="24"/>
        </w:rPr>
        <w:t>3 申请文件的签署和装订</w:t>
      </w:r>
    </w:p>
    <w:p>
      <w:pPr>
        <w:adjustRightInd w:val="0"/>
        <w:snapToGrid w:val="0"/>
        <w:spacing w:line="360" w:lineRule="auto"/>
        <w:ind w:firstLine="480" w:firstLineChars="200"/>
        <w:jc w:val="left"/>
        <w:rPr>
          <w:rFonts w:hint="eastAsia" w:ascii="宋体" w:hAnsi="宋体"/>
          <w:color w:val="000000"/>
          <w:sz w:val="24"/>
        </w:rPr>
      </w:pPr>
      <w:bookmarkStart w:id="0" w:name="_Toc35102148"/>
      <w:r>
        <w:rPr>
          <w:rFonts w:hint="eastAsia" w:ascii="宋体" w:hAnsi="宋体"/>
          <w:color w:val="000000"/>
          <w:sz w:val="24"/>
        </w:rPr>
        <w:t>3.1</w:t>
      </w:r>
      <w:r>
        <w:rPr>
          <w:rFonts w:hint="eastAsia" w:ascii="宋体" w:hAnsi="宋体"/>
          <w:color w:val="000000"/>
          <w:sz w:val="24"/>
          <w:lang w:val="en-US" w:eastAsia="zh-CN"/>
        </w:rPr>
        <w:t xml:space="preserve"> </w:t>
      </w:r>
      <w:r>
        <w:rPr>
          <w:rFonts w:hint="eastAsia" w:ascii="宋体" w:hAnsi="宋体"/>
          <w:color w:val="000000"/>
          <w:sz w:val="24"/>
        </w:rPr>
        <w:t>申请人按本须知前附表第4条规定，编制三份申请文件，并分别装订成册，不得采用活页夹。装订成册的申请文件应密封包装，在申请文件封面以及密封外层应标明“本次比选的工程名称”、“申请人全称”、“申请日期”的字样，在“申请人全称”处均加盖申请人公章</w:t>
      </w:r>
      <w:r>
        <w:rPr>
          <w:rFonts w:hint="eastAsia" w:ascii="宋体" w:hAnsi="宋体"/>
          <w:color w:val="000000"/>
          <w:sz w:val="24"/>
          <w:lang w:eastAsia="zh-CN"/>
        </w:rPr>
        <w:t>并每份加盖骑缝章</w:t>
      </w:r>
      <w:r>
        <w:rPr>
          <w:rFonts w:hint="eastAsia" w:ascii="宋体" w:hAnsi="宋体"/>
          <w:color w:val="000000"/>
          <w:sz w:val="24"/>
        </w:rPr>
        <w:t>。</w:t>
      </w:r>
    </w:p>
    <w:bookmarkEnd w:id="0"/>
    <w:p>
      <w:pPr>
        <w:adjustRightInd w:val="0"/>
        <w:snapToGrid w:val="0"/>
        <w:spacing w:line="360" w:lineRule="auto"/>
        <w:ind w:firstLine="480" w:firstLineChars="200"/>
        <w:jc w:val="left"/>
        <w:rPr>
          <w:rFonts w:hint="eastAsia" w:ascii="宋体" w:hAnsi="宋体"/>
          <w:b/>
          <w:bCs/>
          <w:color w:val="000000"/>
          <w:sz w:val="24"/>
        </w:rPr>
      </w:pPr>
      <w:r>
        <w:rPr>
          <w:rFonts w:hint="eastAsia" w:ascii="宋体" w:hAnsi="宋体"/>
          <w:color w:val="000000"/>
          <w:sz w:val="24"/>
        </w:rPr>
        <w:t>3.2</w:t>
      </w:r>
      <w:r>
        <w:rPr>
          <w:rFonts w:hint="eastAsia" w:ascii="宋体" w:hAnsi="宋体"/>
          <w:b/>
          <w:bCs/>
          <w:color w:val="000000"/>
          <w:sz w:val="24"/>
        </w:rPr>
        <w:t xml:space="preserve"> </w:t>
      </w:r>
      <w:r>
        <w:rPr>
          <w:rFonts w:hint="eastAsia" w:ascii="宋体" w:hAnsi="宋体"/>
          <w:color w:val="000000"/>
          <w:sz w:val="24"/>
        </w:rPr>
        <w:t>如果申请人</w:t>
      </w:r>
      <w:r>
        <w:rPr>
          <w:rFonts w:hint="eastAsia" w:ascii="宋体" w:hAnsi="宋体"/>
          <w:bCs/>
          <w:color w:val="000000"/>
          <w:sz w:val="24"/>
        </w:rPr>
        <w:t>未按上述规定提交的申请文件将被拒绝。</w:t>
      </w:r>
    </w:p>
    <w:p>
      <w:pPr>
        <w:adjustRightInd w:val="0"/>
        <w:snapToGrid w:val="0"/>
        <w:spacing w:line="360" w:lineRule="auto"/>
        <w:ind w:firstLine="482" w:firstLineChars="200"/>
        <w:jc w:val="left"/>
        <w:rPr>
          <w:rFonts w:hint="eastAsia" w:ascii="宋体" w:hAnsi="宋体"/>
          <w:b/>
          <w:color w:val="000000"/>
          <w:sz w:val="24"/>
        </w:rPr>
      </w:pPr>
      <w:r>
        <w:rPr>
          <w:rFonts w:hint="eastAsia" w:ascii="宋体" w:hAnsi="宋体"/>
          <w:b/>
          <w:color w:val="000000"/>
          <w:sz w:val="24"/>
        </w:rPr>
        <w:t>4 组织比选会议</w:t>
      </w:r>
    </w:p>
    <w:p>
      <w:pPr>
        <w:adjustRightInd w:val="0"/>
        <w:snapToGrid w:val="0"/>
        <w:spacing w:line="360" w:lineRule="auto"/>
        <w:ind w:firstLine="480" w:firstLineChars="200"/>
        <w:jc w:val="left"/>
        <w:rPr>
          <w:rFonts w:hint="eastAsia" w:ascii="宋体" w:hAnsi="宋体"/>
          <w:color w:val="000000"/>
          <w:sz w:val="24"/>
        </w:rPr>
      </w:pPr>
      <w:r>
        <w:rPr>
          <w:rFonts w:hint="eastAsia" w:ascii="宋体" w:hAnsi="宋体"/>
          <w:color w:val="000000"/>
          <w:sz w:val="24"/>
        </w:rPr>
        <w:t>4.1 按照前附表规定的截止时间和地点，项目单位组织比选会议，监督部门参加监督。</w:t>
      </w:r>
    </w:p>
    <w:p>
      <w:pPr>
        <w:adjustRightInd w:val="0"/>
        <w:snapToGrid w:val="0"/>
        <w:spacing w:line="360" w:lineRule="auto"/>
        <w:ind w:firstLine="480" w:firstLineChars="200"/>
        <w:jc w:val="left"/>
        <w:rPr>
          <w:rFonts w:hint="eastAsia" w:ascii="宋体" w:hAnsi="宋体"/>
          <w:color w:val="000000"/>
          <w:sz w:val="24"/>
        </w:rPr>
      </w:pPr>
      <w:r>
        <w:rPr>
          <w:rFonts w:hint="eastAsia" w:ascii="宋体" w:hAnsi="宋体"/>
          <w:color w:val="000000"/>
          <w:sz w:val="24"/>
        </w:rPr>
        <w:t>4.2 项目单位介绍参会人员及项目情况，宣布比选会议正式开始。</w:t>
      </w:r>
    </w:p>
    <w:p>
      <w:pPr>
        <w:adjustRightInd w:val="0"/>
        <w:snapToGrid w:val="0"/>
        <w:spacing w:line="360" w:lineRule="auto"/>
        <w:ind w:firstLine="480" w:firstLineChars="200"/>
        <w:jc w:val="left"/>
        <w:rPr>
          <w:rFonts w:hint="eastAsia" w:ascii="宋体" w:hAnsi="宋体"/>
          <w:color w:val="000000"/>
          <w:sz w:val="24"/>
        </w:rPr>
      </w:pPr>
      <w:r>
        <w:rPr>
          <w:rFonts w:hint="eastAsia" w:ascii="宋体" w:hAnsi="宋体"/>
          <w:color w:val="000000"/>
          <w:sz w:val="24"/>
        </w:rPr>
        <w:t>4.3 申请人应委派授权代理人准时出席比选会议，检查所有申请文件的密封情况。经检查无误的申请文件，由项目单位负责开启，宣读其比选申请函，申请人签字并确认。</w:t>
      </w:r>
    </w:p>
    <w:p>
      <w:pPr>
        <w:adjustRightInd w:val="0"/>
        <w:snapToGrid w:val="0"/>
        <w:spacing w:line="360" w:lineRule="auto"/>
        <w:ind w:firstLine="520" w:firstLineChars="200"/>
        <w:jc w:val="left"/>
        <w:rPr>
          <w:rFonts w:hint="eastAsia" w:ascii="宋体" w:hAnsi="宋体"/>
          <w:color w:val="000000"/>
          <w:spacing w:val="10"/>
          <w:sz w:val="24"/>
        </w:rPr>
      </w:pPr>
      <w:r>
        <w:rPr>
          <w:rFonts w:hint="eastAsia" w:ascii="宋体" w:hAnsi="宋体"/>
          <w:color w:val="000000"/>
          <w:spacing w:val="10"/>
          <w:sz w:val="24"/>
        </w:rPr>
        <w:t xml:space="preserve">4.4 </w:t>
      </w:r>
      <w:r>
        <w:rPr>
          <w:rFonts w:hint="eastAsia" w:ascii="宋体" w:hAnsi="宋体"/>
          <w:color w:val="000000"/>
          <w:sz w:val="24"/>
        </w:rPr>
        <w:t>申请人法定代表或其委托代理人不参加会议视为自动弃权。</w:t>
      </w:r>
    </w:p>
    <w:p>
      <w:pPr>
        <w:adjustRightInd w:val="0"/>
        <w:snapToGrid w:val="0"/>
        <w:spacing w:line="360" w:lineRule="auto"/>
        <w:ind w:firstLine="480" w:firstLineChars="200"/>
        <w:jc w:val="left"/>
        <w:rPr>
          <w:rFonts w:hint="eastAsia" w:ascii="宋体" w:hAnsi="宋体"/>
          <w:bCs/>
          <w:color w:val="000000"/>
          <w:sz w:val="24"/>
        </w:rPr>
      </w:pPr>
      <w:r>
        <w:rPr>
          <w:rFonts w:hint="eastAsia" w:ascii="宋体" w:hAnsi="宋体"/>
          <w:bCs/>
          <w:color w:val="000000"/>
          <w:sz w:val="24"/>
        </w:rPr>
        <w:t>4.5 申请文件有下列情况之一者作无效处理：</w:t>
      </w:r>
    </w:p>
    <w:p>
      <w:pPr>
        <w:adjustRightInd w:val="0"/>
        <w:snapToGrid w:val="0"/>
        <w:spacing w:line="360" w:lineRule="auto"/>
        <w:ind w:firstLine="448" w:firstLineChars="200"/>
        <w:jc w:val="left"/>
        <w:rPr>
          <w:rFonts w:hint="eastAsia" w:ascii="宋体" w:hAnsi="宋体"/>
          <w:bCs/>
          <w:color w:val="000000"/>
          <w:spacing w:val="-8"/>
          <w:sz w:val="24"/>
        </w:rPr>
      </w:pPr>
      <w:r>
        <w:rPr>
          <w:rFonts w:hint="eastAsia" w:ascii="宋体" w:hAnsi="宋体"/>
          <w:bCs/>
          <w:color w:val="000000"/>
          <w:spacing w:val="-8"/>
          <w:sz w:val="24"/>
        </w:rPr>
        <w:t>（1）逾期送达的或者未送达指定地点的；</w:t>
      </w:r>
    </w:p>
    <w:p>
      <w:pPr>
        <w:adjustRightInd w:val="0"/>
        <w:snapToGrid w:val="0"/>
        <w:spacing w:line="360" w:lineRule="auto"/>
        <w:ind w:firstLine="480" w:firstLineChars="200"/>
        <w:jc w:val="left"/>
        <w:rPr>
          <w:rFonts w:hint="eastAsia" w:ascii="宋体" w:hAnsi="宋体"/>
          <w:bCs/>
          <w:color w:val="000000"/>
          <w:sz w:val="24"/>
        </w:rPr>
      </w:pPr>
      <w:r>
        <w:rPr>
          <w:rFonts w:hint="eastAsia" w:ascii="宋体" w:hAnsi="宋体"/>
          <w:bCs/>
          <w:color w:val="000000"/>
          <w:sz w:val="24"/>
        </w:rPr>
        <w:t>（2）</w:t>
      </w:r>
      <w:r>
        <w:rPr>
          <w:rFonts w:hint="eastAsia" w:ascii="宋体" w:hAnsi="宋体"/>
          <w:bCs/>
          <w:color w:val="000000"/>
          <w:spacing w:val="-8"/>
          <w:sz w:val="24"/>
        </w:rPr>
        <w:t>未按照本比选</w:t>
      </w:r>
      <w:r>
        <w:rPr>
          <w:rFonts w:hint="eastAsia" w:ascii="宋体" w:hAnsi="宋体"/>
          <w:bCs/>
          <w:color w:val="000000"/>
          <w:spacing w:val="-8"/>
          <w:sz w:val="24"/>
          <w:lang w:eastAsia="zh-CN"/>
        </w:rPr>
        <w:t>须知</w:t>
      </w:r>
      <w:r>
        <w:rPr>
          <w:rFonts w:hint="eastAsia" w:ascii="宋体" w:hAnsi="宋体"/>
          <w:bCs/>
          <w:color w:val="000000"/>
          <w:spacing w:val="-8"/>
          <w:sz w:val="24"/>
        </w:rPr>
        <w:t>“二、比选相关事项”第</w:t>
      </w:r>
      <w:r>
        <w:rPr>
          <w:rFonts w:hint="eastAsia" w:ascii="黑体" w:hAnsi="黑体" w:eastAsia="黑体"/>
          <w:b/>
          <w:bCs/>
          <w:color w:val="000000"/>
          <w:spacing w:val="-8"/>
          <w:sz w:val="24"/>
          <w:u w:val="single"/>
        </w:rPr>
        <w:t xml:space="preserve">  3  </w:t>
      </w:r>
      <w:r>
        <w:rPr>
          <w:rFonts w:hint="eastAsia" w:ascii="宋体" w:hAnsi="宋体"/>
          <w:bCs/>
          <w:color w:val="000000"/>
          <w:spacing w:val="-8"/>
          <w:sz w:val="24"/>
        </w:rPr>
        <w:t>条的要求予以密封和标识的；</w:t>
      </w:r>
    </w:p>
    <w:p>
      <w:pPr>
        <w:adjustRightInd w:val="0"/>
        <w:snapToGrid w:val="0"/>
        <w:spacing w:line="360" w:lineRule="auto"/>
        <w:ind w:firstLine="480" w:firstLineChars="200"/>
        <w:jc w:val="left"/>
        <w:rPr>
          <w:rFonts w:hint="eastAsia" w:ascii="宋体" w:hAnsi="宋体"/>
          <w:color w:val="000000"/>
          <w:sz w:val="24"/>
        </w:rPr>
      </w:pPr>
      <w:r>
        <w:rPr>
          <w:rFonts w:hint="eastAsia" w:ascii="宋体" w:hAnsi="宋体"/>
          <w:bCs/>
          <w:color w:val="000000"/>
          <w:sz w:val="24"/>
        </w:rPr>
        <w:t>4.6 项目单位宣布暂时休会。工作人员将申请文件送达比选小组，申请人法定代表人或委托代理人在整个比选过程中必须保证在接到电话通知后能及时返回比选会场，接受比选小组质询。</w:t>
      </w:r>
    </w:p>
    <w:p>
      <w:pPr>
        <w:adjustRightInd w:val="0"/>
        <w:snapToGrid w:val="0"/>
        <w:spacing w:line="360" w:lineRule="auto"/>
        <w:ind w:firstLine="482" w:firstLineChars="200"/>
        <w:jc w:val="left"/>
        <w:rPr>
          <w:rFonts w:hint="eastAsia" w:ascii="宋体" w:hAnsi="宋体"/>
          <w:b/>
          <w:color w:val="000000"/>
          <w:sz w:val="24"/>
        </w:rPr>
      </w:pPr>
      <w:r>
        <w:rPr>
          <w:rFonts w:hint="eastAsia" w:ascii="宋体" w:hAnsi="宋体"/>
          <w:b/>
          <w:color w:val="000000"/>
          <w:sz w:val="24"/>
        </w:rPr>
        <w:t>5 组建比选小组</w:t>
      </w:r>
    </w:p>
    <w:p>
      <w:pPr>
        <w:adjustRightInd w:val="0"/>
        <w:snapToGrid w:val="0"/>
        <w:spacing w:line="360" w:lineRule="auto"/>
        <w:ind w:firstLine="480" w:firstLineChars="200"/>
        <w:jc w:val="left"/>
        <w:rPr>
          <w:rFonts w:hint="eastAsia" w:ascii="宋体" w:hAnsi="宋体"/>
          <w:bCs/>
          <w:color w:val="000000"/>
          <w:sz w:val="24"/>
        </w:rPr>
      </w:pPr>
      <w:r>
        <w:rPr>
          <w:rFonts w:hint="eastAsia" w:ascii="宋体" w:hAnsi="宋体"/>
          <w:bCs/>
          <w:color w:val="000000"/>
          <w:sz w:val="24"/>
        </w:rPr>
        <w:t xml:space="preserve">5.1 </w:t>
      </w:r>
      <w:bookmarkStart w:id="1" w:name="_Toc222712040"/>
      <w:r>
        <w:rPr>
          <w:rFonts w:hint="eastAsia" w:ascii="宋体" w:hAnsi="宋体"/>
          <w:bCs/>
          <w:color w:val="000000"/>
          <w:sz w:val="24"/>
          <w:lang w:eastAsia="zh-CN"/>
        </w:rPr>
        <w:t>比选人员</w:t>
      </w:r>
      <w:r>
        <w:rPr>
          <w:rFonts w:hint="eastAsia" w:ascii="宋体" w:hAnsi="宋体"/>
          <w:bCs/>
          <w:color w:val="000000"/>
          <w:sz w:val="24"/>
        </w:rPr>
        <w:t>由主项目项目负责人及</w:t>
      </w:r>
      <w:r>
        <w:rPr>
          <w:rFonts w:hint="eastAsia" w:ascii="宋体" w:hAnsi="宋体"/>
          <w:bCs/>
          <w:color w:val="000000"/>
          <w:sz w:val="24"/>
          <w:lang w:eastAsia="zh-CN"/>
        </w:rPr>
        <w:t>项目涉及部门</w:t>
      </w:r>
      <w:r>
        <w:rPr>
          <w:rFonts w:hint="eastAsia" w:ascii="宋体" w:hAnsi="宋体"/>
          <w:bCs/>
          <w:color w:val="000000"/>
          <w:sz w:val="24"/>
        </w:rPr>
        <w:t>和</w:t>
      </w:r>
      <w:r>
        <w:rPr>
          <w:rFonts w:hint="eastAsia" w:ascii="宋体" w:hAnsi="宋体"/>
          <w:bCs/>
          <w:color w:val="000000"/>
          <w:sz w:val="24"/>
          <w:lang w:eastAsia="zh-CN"/>
        </w:rPr>
        <w:t>纪委、审计</w:t>
      </w:r>
      <w:r>
        <w:rPr>
          <w:rFonts w:hint="eastAsia" w:ascii="宋体" w:hAnsi="宋体"/>
          <w:bCs/>
          <w:color w:val="000000"/>
          <w:sz w:val="24"/>
        </w:rPr>
        <w:t>构成，</w:t>
      </w:r>
      <w:r>
        <w:rPr>
          <w:rFonts w:hint="eastAsia" w:ascii="宋体" w:hAnsi="宋体"/>
          <w:bCs/>
          <w:color w:val="000000"/>
          <w:sz w:val="24"/>
          <w:lang w:eastAsia="zh-CN"/>
        </w:rPr>
        <w:t>比选人员</w:t>
      </w:r>
      <w:r>
        <w:rPr>
          <w:rFonts w:hint="eastAsia" w:ascii="宋体" w:hAnsi="宋体"/>
          <w:bCs/>
          <w:color w:val="000000"/>
          <w:sz w:val="24"/>
        </w:rPr>
        <w:t>成员人数为</w:t>
      </w:r>
      <w:r>
        <w:rPr>
          <w:rFonts w:hint="eastAsia" w:ascii="宋体" w:hAnsi="宋体"/>
          <w:bCs/>
          <w:color w:val="000000"/>
          <w:sz w:val="24"/>
          <w:lang w:val="en-US" w:eastAsia="zh-CN"/>
        </w:rPr>
        <w:t>5</w:t>
      </w:r>
      <w:r>
        <w:rPr>
          <w:rFonts w:hint="eastAsia" w:ascii="宋体" w:hAnsi="宋体"/>
          <w:bCs/>
          <w:color w:val="000000"/>
          <w:sz w:val="24"/>
        </w:rPr>
        <w:t>人单数，负责</w:t>
      </w:r>
      <w:r>
        <w:rPr>
          <w:rFonts w:hint="eastAsia" w:ascii="宋体" w:hAnsi="宋体"/>
          <w:bCs/>
          <w:color w:val="000000"/>
          <w:sz w:val="24"/>
          <w:lang w:eastAsia="zh-CN"/>
        </w:rPr>
        <w:t>比选</w:t>
      </w:r>
      <w:r>
        <w:rPr>
          <w:rFonts w:hint="eastAsia" w:ascii="宋体" w:hAnsi="宋体"/>
          <w:bCs/>
          <w:color w:val="000000"/>
          <w:sz w:val="24"/>
        </w:rPr>
        <w:t>活动，机关纪委</w:t>
      </w:r>
      <w:r>
        <w:rPr>
          <w:rFonts w:hint="eastAsia" w:ascii="宋体" w:hAnsi="宋体"/>
          <w:bCs/>
          <w:color w:val="000000"/>
          <w:sz w:val="24"/>
          <w:lang w:eastAsia="zh-CN"/>
        </w:rPr>
        <w:t>、审计</w:t>
      </w:r>
      <w:r>
        <w:rPr>
          <w:rFonts w:hint="eastAsia" w:ascii="宋体" w:hAnsi="宋体"/>
          <w:bCs/>
          <w:color w:val="000000"/>
          <w:sz w:val="24"/>
        </w:rPr>
        <w:t>全过程监督。</w:t>
      </w:r>
      <w:bookmarkEnd w:id="1"/>
    </w:p>
    <w:p>
      <w:pPr>
        <w:adjustRightInd w:val="0"/>
        <w:snapToGrid w:val="0"/>
        <w:spacing w:line="360" w:lineRule="auto"/>
        <w:ind w:firstLine="480" w:firstLineChars="200"/>
        <w:jc w:val="left"/>
        <w:rPr>
          <w:rFonts w:hint="eastAsia" w:ascii="宋体" w:hAnsi="宋体"/>
          <w:color w:val="000000"/>
          <w:sz w:val="24"/>
        </w:rPr>
      </w:pPr>
      <w:r>
        <w:rPr>
          <w:rFonts w:hint="eastAsia" w:ascii="宋体" w:hAnsi="宋体"/>
          <w:color w:val="000000"/>
          <w:sz w:val="24"/>
        </w:rPr>
        <w:t>5.2 比选程序包括：公开报价----强制性审查---价格评审---定标。</w:t>
      </w:r>
    </w:p>
    <w:p>
      <w:pPr>
        <w:adjustRightInd w:val="0"/>
        <w:snapToGrid w:val="0"/>
        <w:spacing w:line="360" w:lineRule="auto"/>
        <w:ind w:firstLine="482" w:firstLineChars="200"/>
        <w:jc w:val="left"/>
        <w:rPr>
          <w:rFonts w:hint="eastAsia" w:ascii="宋体" w:hAnsi="宋体"/>
          <w:b/>
          <w:bCs/>
          <w:color w:val="000000"/>
          <w:sz w:val="24"/>
        </w:rPr>
      </w:pPr>
      <w:r>
        <w:rPr>
          <w:rFonts w:hint="eastAsia" w:ascii="宋体" w:hAnsi="宋体"/>
          <w:b/>
          <w:bCs/>
          <w:color w:val="000000"/>
          <w:sz w:val="24"/>
        </w:rPr>
        <w:t>6 强制性审查</w:t>
      </w:r>
    </w:p>
    <w:p>
      <w:pPr>
        <w:adjustRightInd w:val="0"/>
        <w:snapToGrid w:val="0"/>
        <w:spacing w:line="360" w:lineRule="auto"/>
        <w:ind w:firstLine="480" w:firstLineChars="200"/>
        <w:jc w:val="left"/>
        <w:rPr>
          <w:rFonts w:hint="eastAsia" w:ascii="宋体" w:hAnsi="宋体"/>
          <w:color w:val="000000"/>
          <w:sz w:val="24"/>
        </w:rPr>
      </w:pPr>
      <w:r>
        <w:rPr>
          <w:rFonts w:hint="eastAsia" w:ascii="宋体" w:hAnsi="宋体"/>
          <w:color w:val="000000"/>
          <w:sz w:val="24"/>
        </w:rPr>
        <w:t>6.1申请人参加本工程比选，必须携带身份证原件和授权委托书原件（法人参加只需身份证原件），营业执照、资质证书及项目负责人资格证书复印件（加盖申请人公章）。</w:t>
      </w:r>
    </w:p>
    <w:p>
      <w:pPr>
        <w:adjustRightInd w:val="0"/>
        <w:snapToGrid w:val="0"/>
        <w:spacing w:line="360" w:lineRule="auto"/>
        <w:ind w:firstLine="480" w:firstLineChars="200"/>
        <w:jc w:val="left"/>
        <w:rPr>
          <w:rFonts w:hint="eastAsia" w:ascii="宋体" w:hAnsi="宋体"/>
          <w:bCs/>
          <w:color w:val="000000"/>
          <w:sz w:val="24"/>
        </w:rPr>
      </w:pPr>
      <w:r>
        <w:rPr>
          <w:rFonts w:hint="eastAsia" w:ascii="宋体" w:hAnsi="宋体"/>
          <w:bCs/>
          <w:color w:val="000000"/>
          <w:sz w:val="24"/>
        </w:rPr>
        <w:t>6.2 通过强制性审查应包括以下条件：</w:t>
      </w:r>
    </w:p>
    <w:p>
      <w:pPr>
        <w:adjustRightInd w:val="0"/>
        <w:snapToGrid w:val="0"/>
        <w:spacing w:line="360" w:lineRule="auto"/>
        <w:ind w:firstLine="480" w:firstLineChars="200"/>
        <w:jc w:val="left"/>
        <w:rPr>
          <w:rFonts w:hint="eastAsia" w:ascii="宋体" w:hAnsi="宋体"/>
          <w:bCs/>
          <w:color w:val="000000"/>
          <w:sz w:val="24"/>
        </w:rPr>
      </w:pPr>
      <w:r>
        <w:rPr>
          <w:rFonts w:hint="eastAsia" w:ascii="宋体" w:hAnsi="宋体"/>
          <w:bCs/>
          <w:color w:val="000000"/>
          <w:sz w:val="24"/>
        </w:rPr>
        <w:t>（1）申请人按6.1条规定提供的相关证件，符合公告要求，真实有效；</w:t>
      </w:r>
    </w:p>
    <w:p>
      <w:pPr>
        <w:adjustRightInd w:val="0"/>
        <w:snapToGrid w:val="0"/>
        <w:spacing w:line="360" w:lineRule="auto"/>
        <w:ind w:firstLine="480" w:firstLineChars="200"/>
        <w:jc w:val="left"/>
        <w:rPr>
          <w:rFonts w:hint="eastAsia" w:ascii="宋体" w:hAnsi="宋体"/>
          <w:bCs/>
          <w:color w:val="000000"/>
          <w:sz w:val="24"/>
        </w:rPr>
      </w:pPr>
      <w:r>
        <w:rPr>
          <w:rFonts w:hint="eastAsia" w:ascii="宋体" w:hAnsi="宋体"/>
          <w:bCs/>
          <w:color w:val="000000"/>
          <w:sz w:val="24"/>
        </w:rPr>
        <w:t xml:space="preserve">（2）申请人具备比选须知前附表第3款规定资格； </w:t>
      </w:r>
    </w:p>
    <w:p>
      <w:pPr>
        <w:adjustRightInd w:val="0"/>
        <w:snapToGrid w:val="0"/>
        <w:spacing w:line="360" w:lineRule="auto"/>
        <w:ind w:firstLine="480" w:firstLineChars="200"/>
        <w:jc w:val="left"/>
        <w:rPr>
          <w:rFonts w:hint="eastAsia" w:ascii="宋体" w:hAnsi="宋体"/>
          <w:bCs/>
          <w:color w:val="000000"/>
          <w:sz w:val="24"/>
        </w:rPr>
      </w:pPr>
      <w:r>
        <w:rPr>
          <w:rFonts w:hint="eastAsia" w:ascii="宋体" w:hAnsi="宋体"/>
          <w:bCs/>
          <w:color w:val="000000"/>
          <w:sz w:val="24"/>
        </w:rPr>
        <w:t>（3）项目负责人资格满足本工程要求；</w:t>
      </w:r>
    </w:p>
    <w:p>
      <w:pPr>
        <w:adjustRightInd w:val="0"/>
        <w:snapToGrid w:val="0"/>
        <w:spacing w:line="360" w:lineRule="auto"/>
        <w:ind w:firstLine="480" w:firstLineChars="200"/>
        <w:jc w:val="left"/>
        <w:rPr>
          <w:rFonts w:hint="eastAsia" w:ascii="宋体" w:hAnsi="宋体"/>
          <w:bCs/>
          <w:color w:val="000000"/>
          <w:sz w:val="24"/>
        </w:rPr>
      </w:pPr>
      <w:r>
        <w:rPr>
          <w:rFonts w:hint="eastAsia" w:ascii="宋体" w:hAnsi="宋体"/>
          <w:bCs/>
          <w:color w:val="000000"/>
          <w:sz w:val="24"/>
        </w:rPr>
        <w:t>（4）申请文件按照比选文件格式，内容填写，字迹清晰可辨；</w:t>
      </w:r>
    </w:p>
    <w:p>
      <w:pPr>
        <w:adjustRightInd w:val="0"/>
        <w:snapToGrid w:val="0"/>
        <w:spacing w:line="360" w:lineRule="auto"/>
        <w:ind w:firstLine="480" w:firstLineChars="200"/>
        <w:jc w:val="left"/>
        <w:rPr>
          <w:rFonts w:hint="eastAsia" w:ascii="宋体" w:hAnsi="宋体"/>
          <w:bCs/>
          <w:color w:val="000000"/>
          <w:sz w:val="24"/>
        </w:rPr>
      </w:pPr>
      <w:r>
        <w:rPr>
          <w:rFonts w:hint="eastAsia" w:ascii="宋体" w:hAnsi="宋体"/>
          <w:bCs/>
          <w:color w:val="000000"/>
          <w:sz w:val="24"/>
        </w:rPr>
        <w:t>（5）申请文件上的签字和签章、公章等印章符合比选文件规定；</w:t>
      </w:r>
    </w:p>
    <w:p>
      <w:pPr>
        <w:adjustRightInd w:val="0"/>
        <w:snapToGrid w:val="0"/>
        <w:spacing w:line="360" w:lineRule="auto"/>
        <w:ind w:firstLine="480" w:firstLineChars="200"/>
        <w:jc w:val="left"/>
        <w:rPr>
          <w:rFonts w:hint="eastAsia" w:ascii="宋体" w:hAnsi="宋体"/>
          <w:bCs/>
          <w:color w:val="000000"/>
          <w:sz w:val="24"/>
        </w:rPr>
      </w:pPr>
      <w:r>
        <w:rPr>
          <w:rFonts w:hint="eastAsia" w:ascii="宋体" w:hAnsi="宋体"/>
          <w:bCs/>
          <w:color w:val="000000"/>
          <w:sz w:val="24"/>
        </w:rPr>
        <w:t>（6）申请人报价符合比选文件规定。</w:t>
      </w:r>
    </w:p>
    <w:p>
      <w:pPr>
        <w:adjustRightInd w:val="0"/>
        <w:snapToGrid w:val="0"/>
        <w:spacing w:line="360" w:lineRule="auto"/>
        <w:ind w:firstLine="480" w:firstLineChars="200"/>
        <w:jc w:val="left"/>
        <w:rPr>
          <w:rFonts w:hint="eastAsia" w:ascii="宋体" w:hAnsi="宋体"/>
          <w:b/>
          <w:bCs/>
          <w:color w:val="000000"/>
          <w:sz w:val="24"/>
        </w:rPr>
      </w:pPr>
      <w:r>
        <w:rPr>
          <w:rFonts w:hint="eastAsia" w:ascii="宋体" w:hAnsi="宋体"/>
          <w:color w:val="000000"/>
          <w:sz w:val="24"/>
        </w:rPr>
        <w:t>6.3 通过强制性审查的申请人少于3家的，项目单位应重新组织比选。</w:t>
      </w:r>
    </w:p>
    <w:p>
      <w:pPr>
        <w:adjustRightInd w:val="0"/>
        <w:snapToGrid w:val="0"/>
        <w:spacing w:line="360" w:lineRule="auto"/>
        <w:ind w:firstLine="482" w:firstLineChars="200"/>
        <w:jc w:val="left"/>
        <w:rPr>
          <w:rFonts w:hint="eastAsia" w:ascii="宋体" w:hAnsi="宋体"/>
          <w:b/>
          <w:bCs/>
          <w:color w:val="000000"/>
          <w:sz w:val="24"/>
        </w:rPr>
      </w:pPr>
      <w:r>
        <w:rPr>
          <w:rFonts w:hint="eastAsia" w:ascii="宋体" w:hAnsi="宋体"/>
          <w:b/>
          <w:bCs/>
          <w:color w:val="000000"/>
          <w:sz w:val="24"/>
        </w:rPr>
        <w:t>7 价格评审</w:t>
      </w:r>
    </w:p>
    <w:p>
      <w:pPr>
        <w:adjustRightInd w:val="0"/>
        <w:snapToGrid w:val="0"/>
        <w:spacing w:line="360" w:lineRule="auto"/>
        <w:ind w:firstLine="480" w:firstLineChars="200"/>
        <w:jc w:val="left"/>
        <w:rPr>
          <w:rFonts w:hint="eastAsia" w:ascii="宋体" w:hAnsi="宋体"/>
          <w:bCs/>
          <w:color w:val="000000"/>
          <w:sz w:val="24"/>
        </w:rPr>
      </w:pPr>
      <w:r>
        <w:rPr>
          <w:rFonts w:hint="eastAsia" w:ascii="宋体" w:hAnsi="宋体"/>
          <w:bCs/>
          <w:color w:val="000000"/>
          <w:sz w:val="24"/>
        </w:rPr>
        <w:t>7.1比选小组应按照经评审合理低价的原则确定中选人。</w:t>
      </w:r>
    </w:p>
    <w:p>
      <w:pPr>
        <w:adjustRightInd w:val="0"/>
        <w:snapToGrid w:val="0"/>
        <w:spacing w:line="360" w:lineRule="auto"/>
        <w:ind w:firstLine="480" w:firstLineChars="200"/>
        <w:jc w:val="left"/>
        <w:rPr>
          <w:rFonts w:hint="eastAsia" w:ascii="宋体" w:hAnsi="宋体"/>
          <w:bCs/>
          <w:color w:val="000000"/>
          <w:sz w:val="24"/>
        </w:rPr>
      </w:pPr>
      <w:r>
        <w:rPr>
          <w:rFonts w:hint="eastAsia" w:ascii="宋体" w:hAnsi="宋体"/>
          <w:bCs/>
          <w:color w:val="000000"/>
          <w:sz w:val="24"/>
        </w:rPr>
        <w:t>7.2比选小组以报价由低至高的顺利开始评审，评审内容至少包括：是否符合标准规范规定或合同约定，是否有通过降低工程质量、减少工序内容等手段进行恶性竞争，扰乱正常市场秩序行为。</w:t>
      </w:r>
    </w:p>
    <w:p>
      <w:pPr>
        <w:adjustRightInd w:val="0"/>
        <w:snapToGrid w:val="0"/>
        <w:spacing w:line="360" w:lineRule="auto"/>
        <w:ind w:firstLine="480" w:firstLineChars="200"/>
        <w:jc w:val="left"/>
        <w:rPr>
          <w:rFonts w:hint="eastAsia" w:ascii="宋体" w:hAnsi="宋体"/>
          <w:bCs/>
          <w:color w:val="000000"/>
          <w:sz w:val="24"/>
        </w:rPr>
      </w:pPr>
      <w:r>
        <w:rPr>
          <w:rFonts w:hint="eastAsia" w:ascii="宋体" w:hAnsi="宋体"/>
          <w:bCs/>
          <w:color w:val="000000"/>
          <w:sz w:val="24"/>
        </w:rPr>
        <w:t>7.3申请文件不符合前款规定，比选小组按无效报价处理；</w:t>
      </w:r>
    </w:p>
    <w:p>
      <w:pPr>
        <w:adjustRightInd w:val="0"/>
        <w:snapToGrid w:val="0"/>
        <w:spacing w:line="360" w:lineRule="auto"/>
        <w:ind w:firstLine="482" w:firstLineChars="200"/>
        <w:jc w:val="left"/>
        <w:rPr>
          <w:rFonts w:hint="eastAsia" w:ascii="宋体" w:hAnsi="宋体"/>
          <w:b/>
          <w:bCs/>
          <w:color w:val="000000"/>
          <w:sz w:val="24"/>
        </w:rPr>
      </w:pPr>
      <w:r>
        <w:rPr>
          <w:rFonts w:hint="eastAsia" w:ascii="宋体" w:hAnsi="宋体"/>
          <w:b/>
          <w:bCs/>
          <w:color w:val="000000"/>
          <w:sz w:val="24"/>
        </w:rPr>
        <w:t>8 定标</w:t>
      </w:r>
    </w:p>
    <w:p>
      <w:pPr>
        <w:adjustRightInd w:val="0"/>
        <w:snapToGrid w:val="0"/>
        <w:spacing w:line="360" w:lineRule="auto"/>
        <w:ind w:firstLine="480" w:firstLineChars="200"/>
        <w:jc w:val="left"/>
        <w:rPr>
          <w:rFonts w:hint="eastAsia" w:ascii="宋体" w:hAnsi="宋体"/>
          <w:bCs/>
          <w:color w:val="000000"/>
          <w:sz w:val="24"/>
        </w:rPr>
      </w:pPr>
      <w:r>
        <w:rPr>
          <w:rFonts w:hint="eastAsia" w:ascii="宋体" w:hAnsi="宋体"/>
          <w:bCs/>
          <w:color w:val="000000"/>
          <w:sz w:val="24"/>
        </w:rPr>
        <w:t>8.1 价格评审结束后，项目单位应通知所有申请人返回会议地点,当场宣布评审结果，向中选人发出中选通知书。</w:t>
      </w:r>
    </w:p>
    <w:p>
      <w:pPr>
        <w:adjustRightInd w:val="0"/>
        <w:snapToGrid w:val="0"/>
        <w:spacing w:line="360" w:lineRule="auto"/>
        <w:ind w:firstLine="480" w:firstLineChars="200"/>
        <w:jc w:val="left"/>
        <w:rPr>
          <w:rFonts w:hint="eastAsia" w:ascii="宋体" w:hAnsi="宋体"/>
          <w:color w:val="000000"/>
          <w:sz w:val="24"/>
        </w:rPr>
      </w:pPr>
      <w:r>
        <w:rPr>
          <w:rFonts w:hint="eastAsia" w:ascii="宋体" w:hAnsi="宋体"/>
          <w:bCs/>
          <w:color w:val="000000"/>
          <w:sz w:val="24"/>
        </w:rPr>
        <w:t>8.2 中选通知书</w:t>
      </w:r>
      <w:r>
        <w:rPr>
          <w:rFonts w:hint="eastAsia" w:ascii="宋体" w:hAnsi="宋体"/>
          <w:color w:val="000000"/>
          <w:sz w:val="24"/>
        </w:rPr>
        <w:t>非因法定事由不得变更。中选通知书发出后，因中选人的原因不签订合同的，应向项目业主赔偿由此带来的经济损失。</w:t>
      </w:r>
    </w:p>
    <w:p>
      <w:pPr>
        <w:adjustRightInd w:val="0"/>
        <w:snapToGrid w:val="0"/>
        <w:spacing w:line="360" w:lineRule="auto"/>
        <w:ind w:firstLine="482" w:firstLineChars="200"/>
        <w:jc w:val="left"/>
        <w:rPr>
          <w:rFonts w:hint="eastAsia" w:ascii="宋体" w:hAnsi="宋体"/>
          <w:b/>
          <w:bCs/>
          <w:color w:val="000000"/>
          <w:sz w:val="24"/>
        </w:rPr>
      </w:pPr>
      <w:r>
        <w:rPr>
          <w:rFonts w:hint="eastAsia" w:ascii="宋体" w:hAnsi="宋体"/>
          <w:b/>
          <w:bCs/>
          <w:color w:val="000000"/>
          <w:sz w:val="24"/>
        </w:rPr>
        <w:t>9 合同协议书的签署</w:t>
      </w:r>
    </w:p>
    <w:p>
      <w:pPr>
        <w:adjustRightInd w:val="0"/>
        <w:snapToGrid w:val="0"/>
        <w:spacing w:line="360" w:lineRule="auto"/>
        <w:ind w:firstLine="480" w:firstLineChars="200"/>
        <w:jc w:val="left"/>
        <w:rPr>
          <w:rFonts w:hint="eastAsia" w:ascii="宋体" w:hAnsi="宋体"/>
          <w:color w:val="000000"/>
          <w:sz w:val="24"/>
        </w:rPr>
      </w:pPr>
      <w:r>
        <w:rPr>
          <w:rFonts w:hint="eastAsia" w:ascii="宋体" w:hAnsi="宋体"/>
          <w:color w:val="000000"/>
          <w:sz w:val="24"/>
        </w:rPr>
        <w:t>9.1 项目单位、中选人双方应在中选通知书约定时间内签订合同，在签订合同时应向项目单位出示授权委托书（如为法人签署不需授权委托书）。</w:t>
      </w:r>
    </w:p>
    <w:p>
      <w:pPr>
        <w:adjustRightInd w:val="0"/>
        <w:snapToGrid w:val="0"/>
        <w:spacing w:line="360" w:lineRule="auto"/>
        <w:ind w:firstLine="480" w:firstLineChars="200"/>
        <w:jc w:val="left"/>
        <w:rPr>
          <w:rFonts w:hint="eastAsia" w:ascii="宋体" w:hAnsi="宋体"/>
          <w:color w:val="000000"/>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6F588F"/>
    <w:rsid w:val="067309A5"/>
    <w:rsid w:val="1A6F588F"/>
    <w:rsid w:val="1F4C3A7C"/>
    <w:rsid w:val="24A44379"/>
    <w:rsid w:val="2B532EA2"/>
    <w:rsid w:val="4A1079D8"/>
    <w:rsid w:val="4A8E2EE5"/>
    <w:rsid w:val="75706CF7"/>
    <w:rsid w:val="770D63ED"/>
    <w:rsid w:val="7B5410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60" w:after="360"/>
      <w:ind w:firstLine="0" w:firstLineChars="0"/>
      <w:jc w:val="center"/>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0" w:lineRule="atLeast"/>
      <w:ind w:firstLine="0" w:firstLineChars="0"/>
    </w:pPr>
    <w:rPr>
      <w:sz w:val="30"/>
    </w:rPr>
  </w:style>
  <w:style w:type="character" w:customStyle="1" w:styleId="6">
    <w:name w:val="gonggao-downline1"/>
    <w:basedOn w:val="5"/>
    <w:qFormat/>
    <w:uiPriority w:val="0"/>
    <w:rPr>
      <w:b/>
      <w:bCs/>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2020-04-30T03:18:00Z</dcterms:created>
  <dc:creator>Zerdali</dc:creator>
  <cp:lastModifiedBy>罗二狗</cp:lastModifiedBy>
  <dcterms:modified xsi:type="dcterms:W3CDTF">2020-05-18T08:41:04Z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